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C33DFF5" w:rsidR="00E66558" w:rsidRDefault="00950080">
      <w:pPr>
        <w:pStyle w:val="Heading1"/>
      </w:pPr>
      <w:bookmarkStart w:id="0" w:name="_Toc400361362"/>
      <w:bookmarkStart w:id="1" w:name="_Toc443397153"/>
      <w:bookmarkStart w:id="2" w:name="_Toc357771638"/>
      <w:bookmarkStart w:id="3" w:name="_Toc346793416"/>
      <w:bookmarkStart w:id="4" w:name="_Toc328122777"/>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00721">
        <w:t xml:space="preserve"> 2022-23</w:t>
      </w:r>
      <w:r>
        <w:t xml:space="preserve">     </w:t>
      </w:r>
    </w:p>
    <w:p w14:paraId="4EE876CB" w14:textId="539C3456" w:rsidR="008E000B" w:rsidRDefault="008E000B" w:rsidP="00C62989"/>
    <w:p w14:paraId="2A7D54B3" w14:textId="2FE22AE9" w:rsidR="00E66558" w:rsidRDefault="006B40AD" w:rsidP="00C62989">
      <w:pPr>
        <w:rPr>
          <w:b/>
        </w:rPr>
      </w:pPr>
      <w:r>
        <w:t>This statement details St Giles’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E066E81" w:rsidR="002940F3" w:rsidRDefault="006B40AD">
            <w:pPr>
              <w:pStyle w:val="TableRow"/>
            </w:pPr>
            <w:r>
              <w:t>116 including 8 part time Nursery pupils</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FC9AD2C" w:rsidR="002940F3" w:rsidRDefault="0050591B">
            <w:pPr>
              <w:pStyle w:val="TableRow"/>
            </w:pPr>
            <w:r>
              <w:t>52</w:t>
            </w:r>
            <w:r w:rsidR="00A15C5E">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6CB2F513"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B0152" w14:textId="6B6E811D" w:rsidR="002940F3" w:rsidRDefault="00A15C5E">
            <w:pPr>
              <w:pStyle w:val="TableRow"/>
            </w:pPr>
            <w:r w:rsidRPr="00A15C5E">
              <w:t xml:space="preserve">2021 </w:t>
            </w:r>
            <w:r w:rsidR="00CD0C80">
              <w:t>–</w:t>
            </w:r>
            <w:r w:rsidRPr="00A15C5E">
              <w:t xml:space="preserve"> 2024</w:t>
            </w:r>
          </w:p>
          <w:p w14:paraId="2A7D54BF" w14:textId="0CCA6E38" w:rsidR="00CD0C80" w:rsidRPr="003B35A5" w:rsidRDefault="00CD0C80">
            <w:pPr>
              <w:pStyle w:val="TableRow"/>
              <w:rPr>
                <w:sz w:val="20"/>
                <w:szCs w:val="20"/>
              </w:rPr>
            </w:pPr>
            <w:r w:rsidRPr="003B35A5">
              <w:rPr>
                <w:sz w:val="20"/>
                <w:szCs w:val="20"/>
              </w:rPr>
              <w:t xml:space="preserve">Some amendments made to reflect </w:t>
            </w:r>
            <w:r w:rsidR="003B35A5">
              <w:rPr>
                <w:sz w:val="20"/>
                <w:szCs w:val="20"/>
              </w:rPr>
              <w:t>data September 22</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37320FE" w:rsidR="002940F3" w:rsidRDefault="00A15C5E">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AD63A2F" w:rsidR="002940F3" w:rsidRDefault="00A15C5E">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B7708" w14:textId="77777777" w:rsidR="002940F3" w:rsidRDefault="00A15C5E">
            <w:pPr>
              <w:pStyle w:val="TableRow"/>
            </w:pPr>
            <w:r>
              <w:t>Katharine Lewis</w:t>
            </w:r>
          </w:p>
          <w:p w14:paraId="2A7D54C8" w14:textId="0C6215C5" w:rsidR="00A15C5E" w:rsidRDefault="00A15C5E">
            <w:pPr>
              <w:pStyle w:val="TableRow"/>
            </w:pPr>
            <w:r>
              <w:t>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589CFA" w14:textId="77777777" w:rsidR="00A15C5E" w:rsidRDefault="00A15C5E" w:rsidP="00A15C5E">
            <w:pPr>
              <w:pStyle w:val="TableRow"/>
            </w:pPr>
            <w:r>
              <w:t>Katharine Lewis</w:t>
            </w:r>
          </w:p>
          <w:p w14:paraId="2A7D54CB" w14:textId="1E8B019B" w:rsidR="002940F3" w:rsidRDefault="00A15C5E" w:rsidP="00A15C5E">
            <w:pPr>
              <w:pStyle w:val="TableRow"/>
            </w:pPr>
            <w:r>
              <w:t>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4DFAD391" w:rsidR="002940F3" w:rsidRDefault="0088267E">
            <w:pPr>
              <w:pStyle w:val="TableRow"/>
            </w:pPr>
            <w:r>
              <w:t>Governor</w:t>
            </w:r>
            <w:r w:rsidR="002940F3">
              <w:rPr>
                <w:szCs w:val="22"/>
              </w:rPr>
              <w:t xml:space="preserve"> </w:t>
            </w:r>
            <w:r w:rsidR="002940F3">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66C1AA1" w:rsidR="002940F3" w:rsidRDefault="0088267E">
            <w:pPr>
              <w:pStyle w:val="TableRow"/>
            </w:pPr>
            <w:r>
              <w:t>Paul Thirkettle and Ken Morcombe</w:t>
            </w:r>
            <w:bookmarkStart w:id="14" w:name="_GoBack"/>
            <w:bookmarkEnd w:id="14"/>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B176803" w:rsidR="00E66558" w:rsidRDefault="00040F1D" w:rsidP="00040F1D">
            <w:pPr>
              <w:pStyle w:val="TableRow"/>
              <w:ind w:left="0"/>
            </w:pPr>
            <w:r w:rsidRPr="00040F1D">
              <w:t>£58,745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9D15F47" w:rsidR="00E66558" w:rsidRDefault="00040F1D">
            <w:pPr>
              <w:pStyle w:val="TableRow"/>
            </w:pPr>
            <w:r w:rsidRPr="00040F1D">
              <w:t>£40,210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421ED2" w:rsidR="00E66558" w:rsidRDefault="009D71E8" w:rsidP="009C0914">
            <w:pPr>
              <w:pStyle w:val="TableRow"/>
              <w:spacing w:after="120"/>
            </w:pPr>
            <w:r>
              <w:t xml:space="preserve">Pupil premium </w:t>
            </w:r>
            <w:r w:rsidR="006E0786">
              <w:t>(and recovery premium</w:t>
            </w:r>
            <w:r w:rsidR="001E206F">
              <w:t xml:space="preserve">*) </w:t>
            </w:r>
            <w:r>
              <w:t>funding carr</w:t>
            </w:r>
            <w:r w:rsidR="00A15C5E">
              <w:t>ied forward from previous years</w:t>
            </w:r>
          </w:p>
          <w:p w14:paraId="2A7D54DD" w14:textId="778ED2D5" w:rsidR="001E206F" w:rsidRPr="00586FBC" w:rsidRDefault="001E206F">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C8E3BF4" w:rsidR="00E66558" w:rsidRDefault="009D71E8">
            <w:pPr>
              <w:pStyle w:val="TableRow"/>
            </w:pPr>
            <w:r>
              <w:t>£</w:t>
            </w:r>
            <w:r w:rsidR="004E18C6">
              <w:t xml:space="preserve"> 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15A2BBCB"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2EB8E89" w:rsidR="00E66558" w:rsidRDefault="009D71E8">
            <w:pPr>
              <w:pStyle w:val="TableRow"/>
            </w:pPr>
            <w:r>
              <w:t>£</w:t>
            </w:r>
            <w:r w:rsidR="00040F1D">
              <w:t xml:space="preserve"> 98,955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D643" w14:textId="32D405AE" w:rsidR="00A15C5E" w:rsidRDefault="00A15C5E" w:rsidP="00A15C5E">
            <w:pPr>
              <w:ind w:left="360"/>
            </w:pPr>
            <w:r>
              <w:t xml:space="preserve">Our aim is to use pupil premium funding to help us achieve and sustain positive outcomes for our disadvantaged pupils. Whilst socio-economic disadvantage is not always the primary challenge our pupils face, </w:t>
            </w:r>
            <w:r w:rsidR="00A97F76">
              <w:t>during the academic year 2020 – 21 there did appear to be some</w:t>
            </w:r>
            <w:r>
              <w:t xml:space="preserve"> variance in outcomes for disadvantaged pupils</w:t>
            </w:r>
            <w:r w:rsidR="00A97F76">
              <w:t xml:space="preserve"> e.g. </w:t>
            </w:r>
            <w:r>
              <w:t xml:space="preserve"> </w:t>
            </w:r>
            <w:r w:rsidR="00A97F76">
              <w:t>pupil premium pupil when compared to their peers, made less progress in maths</w:t>
            </w:r>
            <w:r>
              <w:t xml:space="preserve">. </w:t>
            </w:r>
          </w:p>
          <w:p w14:paraId="1BC52193" w14:textId="73BA4732" w:rsidR="00DF3F9F" w:rsidRDefault="00A97F76" w:rsidP="009456A8">
            <w:pPr>
              <w:ind w:left="360"/>
            </w:pPr>
            <w:r>
              <w:t>Du</w:t>
            </w:r>
            <w:r w:rsidR="001D0740">
              <w:t>ring the academic year 2021 – 22</w:t>
            </w:r>
            <w:r>
              <w:t xml:space="preserve"> th</w:t>
            </w:r>
            <w:r w:rsidR="00611949">
              <w:t>e variance reduced</w:t>
            </w:r>
            <w:r>
              <w:t xml:space="preserve">. </w:t>
            </w:r>
            <w:r w:rsidR="00365F9C">
              <w:t>However, pupils</w:t>
            </w:r>
            <w:r w:rsidR="001258A1">
              <w:t xml:space="preserve"> continue to experience disadvantage as a result of</w:t>
            </w:r>
            <w:r w:rsidR="00365F9C">
              <w:t xml:space="preserve"> the pandemic. </w:t>
            </w:r>
            <w:r w:rsidR="00A15C5E">
              <w:t xml:space="preserve">At the heart of our approach is </w:t>
            </w:r>
            <w:r w:rsidR="001258A1">
              <w:t xml:space="preserve">a commitment to putting </w:t>
            </w:r>
            <w:r w:rsidR="001258A1" w:rsidRPr="001258A1">
              <w:t xml:space="preserve">the best support is in place for maximising progress </w:t>
            </w:r>
            <w:r w:rsidR="001258A1">
              <w:t>for the most vulnerable pupils</w:t>
            </w:r>
            <w:r w:rsidR="001258A1" w:rsidRPr="001258A1">
              <w:t xml:space="preserve"> in addition to our core provision.</w:t>
            </w:r>
            <w:r w:rsidR="001258A1">
              <w:t xml:space="preserve"> </w:t>
            </w:r>
          </w:p>
          <w:p w14:paraId="596670BF" w14:textId="337D48EB" w:rsidR="00DF3F9F" w:rsidRDefault="00A15C5E" w:rsidP="009456A8">
            <w:pPr>
              <w:ind w:left="360"/>
            </w:pPr>
            <w:r>
              <w:t xml:space="preserve">Although our strategy is focused on the needs of </w:t>
            </w:r>
            <w:r w:rsidR="009F5976">
              <w:t>our mo</w:t>
            </w:r>
            <w:r w:rsidR="001258A1">
              <w:t xml:space="preserve">st vulnerable </w:t>
            </w:r>
            <w:r>
              <w:t>pupils</w:t>
            </w:r>
            <w:r w:rsidR="001258A1">
              <w:t xml:space="preserve"> and those who have been </w:t>
            </w:r>
            <w:r w:rsidR="00365F9C">
              <w:t>disadvantaged by the pandemic</w:t>
            </w:r>
            <w:r>
              <w:t>, it will benefit all pupils in our school where funding is spent on whole-school approaches, such as high</w:t>
            </w:r>
            <w:r w:rsidR="007F77E2">
              <w:t>-</w:t>
            </w:r>
            <w:r>
              <w:t xml:space="preserve">quality teaching. Implicit in the intended outcomes detailed below, is the intention that outcomes for non-disadvantaged pupils will be improved alongside progress for their disadvantaged peers. </w:t>
            </w:r>
          </w:p>
          <w:p w14:paraId="4D09C9E2" w14:textId="43791926" w:rsidR="00A82194" w:rsidRDefault="00A15C5E" w:rsidP="00DF3F9F">
            <w:pPr>
              <w:ind w:left="360"/>
              <w:rPr>
                <w:iCs/>
              </w:rPr>
            </w:pPr>
            <w:r>
              <w:t xml:space="preserve">Our strategy is integral to wider school plans for education recovery, notably through engagement with the </w:t>
            </w:r>
            <w:r w:rsidR="00DF3F9F">
              <w:t>School Led</w:t>
            </w:r>
            <w:r>
              <w:t xml:space="preserve"> Tutoring Programme for pupils that have been worst affected, including non-disadvantaged pupils. </w:t>
            </w:r>
            <w:r w:rsidR="00A82194" w:rsidRPr="00B140E5">
              <w:rPr>
                <w:iCs/>
              </w:rPr>
              <w:t>The Pupil Premium strategy compliments the planned outcomes of the School Development Plan, the Equalities Action Plan, the Accessibility Plan and the St Giles Curriculum Pathways Intent.</w:t>
            </w:r>
            <w:r w:rsidR="00395B87">
              <w:rPr>
                <w:iCs/>
              </w:rPr>
              <w:t xml:space="preserve"> It is reflected in the appraisal targets set this year for the staff team.</w:t>
            </w:r>
          </w:p>
          <w:p w14:paraId="2A7D54E9" w14:textId="635C2014" w:rsidR="00B140E5" w:rsidRPr="00607862" w:rsidRDefault="00A15C5E" w:rsidP="00607862">
            <w:pPr>
              <w:ind w:left="360"/>
            </w:pPr>
            <w:r>
              <w:t>Our strategy will be driven by the needs and strengths of each y</w:t>
            </w:r>
            <w:r w:rsidR="00B140E5">
              <w:t>oung person, based on formal,</w:t>
            </w:r>
            <w:r>
              <w:t xml:space="preserve"> informal</w:t>
            </w:r>
            <w:r w:rsidR="00B140E5">
              <w:t>, formative and summative</w:t>
            </w:r>
            <w:r>
              <w:t xml:space="preserve"> assess</w:t>
            </w:r>
            <w:r w:rsidR="00DF3F9F">
              <w:t>ments</w:t>
            </w:r>
            <w:r w:rsidR="00B140E5">
              <w:t xml:space="preserve">. This </w:t>
            </w:r>
            <w:r>
              <w:t>help</w:t>
            </w:r>
            <w:r w:rsidR="00B140E5">
              <w:t>s</w:t>
            </w:r>
            <w:r>
              <w:t xml:space="preserve"> us to ensure that we offer them the relevant skills and experience they require to be </w:t>
            </w:r>
            <w:r w:rsidR="00DF3F9F">
              <w:t>the best that they can be</w:t>
            </w:r>
            <w:r>
              <w:t>.</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434F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C39ED44" w:rsidR="00434F1B" w:rsidRDefault="00434F1B" w:rsidP="00434F1B">
            <w:pPr>
              <w:pStyle w:val="TableRow"/>
              <w:rPr>
                <w:sz w:val="22"/>
                <w:szCs w:val="22"/>
              </w:rPr>
            </w:pPr>
            <w:r>
              <w:rPr>
                <w:sz w:val="22"/>
                <w:szCs w:val="22"/>
              </w:rPr>
              <w:t>1</w:t>
            </w:r>
            <w:r w:rsidR="00B26255">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5CA308D" w:rsidR="00434F1B" w:rsidRPr="00DF3F9F" w:rsidRDefault="00DF3F9F" w:rsidP="00AF174B">
            <w:pPr>
              <w:pStyle w:val="TableRowCentered"/>
              <w:jc w:val="left"/>
              <w:rPr>
                <w:sz w:val="20"/>
              </w:rPr>
            </w:pPr>
            <w:r>
              <w:rPr>
                <w:sz w:val="20"/>
              </w:rPr>
              <w:t xml:space="preserve">Narrow the gap for pupils following the Formal and Semi-formal curriculum pathways who are not achieving expected progress in number and reading. </w:t>
            </w:r>
          </w:p>
        </w:tc>
      </w:tr>
      <w:tr w:rsidR="00434F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07714AF" w:rsidR="00434F1B" w:rsidRDefault="00434F1B" w:rsidP="00434F1B">
            <w:pPr>
              <w:pStyle w:val="TableRow"/>
              <w:rPr>
                <w:sz w:val="22"/>
                <w:szCs w:val="22"/>
              </w:rPr>
            </w:pPr>
            <w:r>
              <w:rPr>
                <w:sz w:val="22"/>
                <w:szCs w:val="22"/>
              </w:rPr>
              <w:lastRenderedPageBreak/>
              <w:t>2</w:t>
            </w:r>
            <w:r w:rsidR="00B26255">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33584E" w:rsidR="00434F1B" w:rsidRPr="002D2621" w:rsidRDefault="00434F1B" w:rsidP="00DF3F9F">
            <w:pPr>
              <w:pStyle w:val="TableRowCentered"/>
              <w:jc w:val="left"/>
              <w:rPr>
                <w:sz w:val="20"/>
              </w:rPr>
            </w:pPr>
            <w:r w:rsidRPr="002D2621">
              <w:rPr>
                <w:sz w:val="20"/>
              </w:rPr>
              <w:t xml:space="preserve">Monitoring of attendance </w:t>
            </w:r>
            <w:r w:rsidR="00DF3F9F">
              <w:rPr>
                <w:sz w:val="20"/>
              </w:rPr>
              <w:t xml:space="preserve">data </w:t>
            </w:r>
            <w:r w:rsidRPr="002D2621">
              <w:rPr>
                <w:sz w:val="20"/>
              </w:rPr>
              <w:t xml:space="preserve">and conversations with pupils and their families, shows that there </w:t>
            </w:r>
            <w:r w:rsidR="00AF174B" w:rsidRPr="002D2621">
              <w:rPr>
                <w:sz w:val="20"/>
              </w:rPr>
              <w:t xml:space="preserve">continues to be </w:t>
            </w:r>
            <w:r w:rsidRPr="002D2621">
              <w:rPr>
                <w:sz w:val="20"/>
              </w:rPr>
              <w:t>a group of disadvantaged pupils with complex medical conditions who are experiencing issues with at</w:t>
            </w:r>
            <w:r w:rsidR="00DF3F9F">
              <w:rPr>
                <w:sz w:val="20"/>
              </w:rPr>
              <w:t xml:space="preserve">tendance. A number of pupils who are not in hospital, have been </w:t>
            </w:r>
            <w:r w:rsidRPr="002D2621">
              <w:rPr>
                <w:sz w:val="20"/>
              </w:rPr>
              <w:t>unable to at</w:t>
            </w:r>
            <w:r w:rsidR="00DF3F9F">
              <w:rPr>
                <w:sz w:val="20"/>
              </w:rPr>
              <w:t>tend school for medical reasons and</w:t>
            </w:r>
            <w:r w:rsidRPr="002D2621">
              <w:rPr>
                <w:sz w:val="20"/>
              </w:rPr>
              <w:t xml:space="preserve"> parents struggle to meet their needs at home. </w:t>
            </w:r>
            <w:r w:rsidR="00DF3F9F">
              <w:rPr>
                <w:sz w:val="20"/>
              </w:rPr>
              <w:t>Where pupils in hospital are benefiting from Hospital Schools, the school needs to work with the Hospital School to support their understanding of the pupil and transition back into St Giles.</w:t>
            </w:r>
          </w:p>
        </w:tc>
      </w:tr>
      <w:tr w:rsidR="00434F1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D323539" w:rsidR="00434F1B" w:rsidRDefault="00434F1B" w:rsidP="00434F1B">
            <w:pPr>
              <w:pStyle w:val="TableRow"/>
              <w:rPr>
                <w:sz w:val="22"/>
                <w:szCs w:val="22"/>
              </w:rPr>
            </w:pPr>
            <w:r>
              <w:rPr>
                <w:sz w:val="22"/>
                <w:szCs w:val="22"/>
              </w:rPr>
              <w:t>3</w:t>
            </w:r>
            <w:r w:rsidR="00B26255">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C67DD6D" w:rsidR="00434F1B" w:rsidRPr="002D2621" w:rsidRDefault="00DF3F9F" w:rsidP="00434F1B">
            <w:pPr>
              <w:pStyle w:val="TableRowCentered"/>
              <w:jc w:val="left"/>
              <w:rPr>
                <w:sz w:val="20"/>
              </w:rPr>
            </w:pPr>
            <w:r>
              <w:rPr>
                <w:sz w:val="20"/>
              </w:rPr>
              <w:t>Our assessments show that</w:t>
            </w:r>
            <w:r w:rsidR="00AF174B" w:rsidRPr="002D2621">
              <w:rPr>
                <w:sz w:val="20"/>
              </w:rPr>
              <w:t xml:space="preserve"> pupils </w:t>
            </w:r>
            <w:r>
              <w:rPr>
                <w:sz w:val="20"/>
              </w:rPr>
              <w:t xml:space="preserve">following the pre-formal pathway </w:t>
            </w:r>
            <w:r w:rsidR="00AF174B" w:rsidRPr="002D2621">
              <w:rPr>
                <w:sz w:val="20"/>
              </w:rPr>
              <w:t>make less progress towar</w:t>
            </w:r>
            <w:r>
              <w:rPr>
                <w:sz w:val="20"/>
              </w:rPr>
              <w:t xml:space="preserve">ds their Cognition </w:t>
            </w:r>
            <w:r w:rsidR="00AF174B" w:rsidRPr="002D2621">
              <w:rPr>
                <w:sz w:val="20"/>
              </w:rPr>
              <w:t xml:space="preserve">EHCP outcomes than with other </w:t>
            </w:r>
            <w:r w:rsidR="002D2621" w:rsidRPr="002D2621">
              <w:rPr>
                <w:sz w:val="20"/>
              </w:rPr>
              <w:t xml:space="preserve">EHCP </w:t>
            </w:r>
            <w:r w:rsidR="00AF174B" w:rsidRPr="002D2621">
              <w:rPr>
                <w:sz w:val="20"/>
              </w:rPr>
              <w:t>outcomes.</w:t>
            </w:r>
          </w:p>
        </w:tc>
      </w:tr>
      <w:tr w:rsidR="00B26255" w14:paraId="63B2A80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09CC7" w14:textId="7F77E5D1" w:rsidR="00B26255" w:rsidRDefault="00B26255" w:rsidP="00434F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F0A4" w14:textId="2C5B4CBC" w:rsidR="00B26255" w:rsidRDefault="00365F9C" w:rsidP="00365F9C">
            <w:pPr>
              <w:pStyle w:val="TableRowCentered"/>
              <w:jc w:val="left"/>
              <w:rPr>
                <w:sz w:val="20"/>
              </w:rPr>
            </w:pPr>
            <w:r>
              <w:rPr>
                <w:sz w:val="20"/>
              </w:rPr>
              <w:t>Ensure pupils with a clear discrepancy between their level of understanding and their ability to speak</w:t>
            </w:r>
            <w:r w:rsidR="001258A1">
              <w:rPr>
                <w:sz w:val="20"/>
              </w:rPr>
              <w:t xml:space="preserve">, </w:t>
            </w:r>
            <w:r>
              <w:rPr>
                <w:sz w:val="20"/>
              </w:rPr>
              <w:t xml:space="preserve">access </w:t>
            </w:r>
            <w:r w:rsidRPr="00365F9C">
              <w:rPr>
                <w:sz w:val="20"/>
              </w:rPr>
              <w:t>person</w:t>
            </w:r>
            <w:r>
              <w:rPr>
                <w:sz w:val="20"/>
              </w:rPr>
              <w:t>alised systems of communication.</w:t>
            </w:r>
          </w:p>
          <w:p w14:paraId="4CFB6731" w14:textId="420578C8" w:rsidR="0042770C" w:rsidRDefault="0042770C" w:rsidP="00365F9C">
            <w:pPr>
              <w:pStyle w:val="TableRowCentered"/>
              <w:jc w:val="left"/>
              <w:rPr>
                <w:sz w:val="20"/>
              </w:rPr>
            </w:pPr>
            <w:r>
              <w:rPr>
                <w:sz w:val="20"/>
              </w:rPr>
              <w:t>Ensure pupils with social communication difficulties are supported with their communication and emotional wellbeing.</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5EA3D85" w:rsidR="00E66558" w:rsidRPr="00B143BD" w:rsidRDefault="00B143BD" w:rsidP="00D138CD">
            <w:pPr>
              <w:pStyle w:val="TableRow"/>
              <w:ind w:left="0"/>
              <w:rPr>
                <w:sz w:val="20"/>
                <w:szCs w:val="20"/>
              </w:rPr>
            </w:pPr>
            <w:r w:rsidRPr="00B143BD">
              <w:rPr>
                <w:sz w:val="20"/>
                <w:szCs w:val="20"/>
              </w:rPr>
              <w:t>Improv</w:t>
            </w:r>
            <w:r w:rsidR="00D32167">
              <w:rPr>
                <w:sz w:val="20"/>
                <w:szCs w:val="20"/>
              </w:rPr>
              <w:t xml:space="preserve">ed attainment for </w:t>
            </w:r>
            <w:r w:rsidRPr="00B143BD">
              <w:rPr>
                <w:sz w:val="20"/>
                <w:szCs w:val="20"/>
              </w:rPr>
              <w:t>pupils</w:t>
            </w:r>
            <w:r w:rsidR="009B6B7D">
              <w:rPr>
                <w:sz w:val="20"/>
                <w:szCs w:val="20"/>
              </w:rPr>
              <w:t>, including pupil premium pupils,</w:t>
            </w:r>
            <w:r w:rsidRPr="00B143BD">
              <w:rPr>
                <w:sz w:val="20"/>
                <w:szCs w:val="20"/>
              </w:rPr>
              <w:t xml:space="preserve"> </w:t>
            </w:r>
            <w:r w:rsidR="00175045">
              <w:rPr>
                <w:sz w:val="20"/>
                <w:szCs w:val="20"/>
              </w:rPr>
              <w:t xml:space="preserve">following the </w:t>
            </w:r>
            <w:r w:rsidR="00395B87">
              <w:rPr>
                <w:sz w:val="20"/>
                <w:szCs w:val="20"/>
              </w:rPr>
              <w:t xml:space="preserve">formal and </w:t>
            </w:r>
            <w:r w:rsidR="00175045">
              <w:rPr>
                <w:sz w:val="20"/>
                <w:szCs w:val="20"/>
              </w:rPr>
              <w:t xml:space="preserve">semi-formal </w:t>
            </w:r>
            <w:r w:rsidR="00F37378">
              <w:rPr>
                <w:sz w:val="20"/>
                <w:szCs w:val="20"/>
              </w:rPr>
              <w:t xml:space="preserve">curriculum </w:t>
            </w:r>
            <w:r w:rsidRPr="00B143BD">
              <w:rPr>
                <w:sz w:val="20"/>
                <w:szCs w:val="20"/>
              </w:rPr>
              <w:t>in number and reading</w:t>
            </w:r>
            <w:r w:rsidR="00175045">
              <w:rPr>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9F33" w14:textId="77777777" w:rsidR="00B143BD" w:rsidRPr="00B143BD" w:rsidRDefault="00B143BD" w:rsidP="00A90B54">
            <w:pPr>
              <w:pStyle w:val="TableRowCentered"/>
              <w:jc w:val="left"/>
              <w:rPr>
                <w:sz w:val="20"/>
              </w:rPr>
            </w:pPr>
            <w:r w:rsidRPr="00B143BD">
              <w:rPr>
                <w:sz w:val="20"/>
              </w:rPr>
              <w:t>Through achievement of improved</w:t>
            </w:r>
          </w:p>
          <w:p w14:paraId="07BB40EC" w14:textId="77777777" w:rsidR="00B143BD" w:rsidRPr="00B143BD" w:rsidRDefault="00B143BD" w:rsidP="00A90B54">
            <w:pPr>
              <w:pStyle w:val="TableRowCentered"/>
              <w:jc w:val="left"/>
              <w:rPr>
                <w:sz w:val="20"/>
              </w:rPr>
            </w:pPr>
            <w:r w:rsidRPr="00B143BD">
              <w:rPr>
                <w:sz w:val="20"/>
              </w:rPr>
              <w:t>performance, as demonstrated by our end</w:t>
            </w:r>
          </w:p>
          <w:p w14:paraId="35B64599" w14:textId="5BC97005" w:rsidR="00B143BD" w:rsidRPr="00B143BD" w:rsidRDefault="00B143BD" w:rsidP="00A90B54">
            <w:pPr>
              <w:pStyle w:val="TableRowCentered"/>
              <w:jc w:val="left"/>
              <w:rPr>
                <w:sz w:val="20"/>
              </w:rPr>
            </w:pPr>
            <w:r w:rsidRPr="00B143BD">
              <w:rPr>
                <w:sz w:val="20"/>
              </w:rPr>
              <w:t>of year assessments a</w:t>
            </w:r>
            <w:r w:rsidR="00A170B8">
              <w:rPr>
                <w:sz w:val="20"/>
              </w:rPr>
              <w:t>t the end of the</w:t>
            </w:r>
          </w:p>
          <w:p w14:paraId="2A7D5505" w14:textId="2C98CA56" w:rsidR="00E66558" w:rsidRPr="00B143BD" w:rsidRDefault="00B143BD" w:rsidP="00A90B54">
            <w:pPr>
              <w:pStyle w:val="TableRowCentered"/>
              <w:jc w:val="left"/>
              <w:rPr>
                <w:sz w:val="20"/>
              </w:rPr>
            </w:pPr>
            <w:r w:rsidRPr="00B143BD">
              <w:rPr>
                <w:sz w:val="20"/>
              </w:rPr>
              <w:t>strategy in 2024/25.</w:t>
            </w:r>
          </w:p>
        </w:tc>
      </w:tr>
      <w:tr w:rsidR="00B143B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85948BB" w:rsidR="00B143BD" w:rsidRPr="00B143BD" w:rsidRDefault="00B143BD" w:rsidP="00A90B54">
            <w:pPr>
              <w:pStyle w:val="TableRow"/>
              <w:rPr>
                <w:sz w:val="20"/>
                <w:szCs w:val="20"/>
              </w:rPr>
            </w:pPr>
            <w:r w:rsidRPr="00B143BD">
              <w:rPr>
                <w:sz w:val="20"/>
                <w:szCs w:val="20"/>
              </w:rPr>
              <w:t>Improved attendance for disadvantaged pupils with complex medical conditions. Through achievement of improved attendance, as demonstrated by monitorin</w:t>
            </w:r>
            <w:r w:rsidR="004212B0">
              <w:rPr>
                <w:sz w:val="20"/>
                <w:szCs w:val="20"/>
              </w:rPr>
              <w:t>g attendance over time from 2022-23</w:t>
            </w:r>
            <w:r w:rsidRPr="00B143BD">
              <w:rPr>
                <w:sz w:val="20"/>
                <w:szCs w:val="20"/>
              </w:rPr>
              <w:t xml:space="preserve"> until the end of our strategy in 2024/25.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583C237" w:rsidR="00B143BD" w:rsidRPr="00B143BD" w:rsidRDefault="00B143BD" w:rsidP="00A90B54">
            <w:pPr>
              <w:pStyle w:val="TableRowCentered"/>
              <w:jc w:val="left"/>
              <w:rPr>
                <w:sz w:val="20"/>
              </w:rPr>
            </w:pPr>
            <w:r w:rsidRPr="00B143BD">
              <w:rPr>
                <w:sz w:val="20"/>
              </w:rPr>
              <w:t>Improved attendance for disadvantaged pupils with complex medical conditions. Through achievement of improved attendance, as demonstrated by monitorin</w:t>
            </w:r>
            <w:r w:rsidR="004212B0">
              <w:rPr>
                <w:sz w:val="20"/>
              </w:rPr>
              <w:t>g attendance over time from 2022-23</w:t>
            </w:r>
            <w:r w:rsidRPr="00B143BD">
              <w:rPr>
                <w:sz w:val="20"/>
              </w:rPr>
              <w:t xml:space="preserve"> until the end of our strategy in 2024/25.</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311311" w:rsidR="00E66558" w:rsidRPr="00D32167" w:rsidRDefault="00365F9C" w:rsidP="00A90B54">
            <w:pPr>
              <w:pStyle w:val="TableRow"/>
              <w:rPr>
                <w:sz w:val="20"/>
                <w:szCs w:val="20"/>
              </w:rPr>
            </w:pPr>
            <w:r>
              <w:rPr>
                <w:sz w:val="20"/>
                <w:szCs w:val="20"/>
              </w:rPr>
              <w:t>Improved progress towards C</w:t>
            </w:r>
            <w:r w:rsidR="00D32167" w:rsidRPr="00D32167">
              <w:rPr>
                <w:sz w:val="20"/>
                <w:szCs w:val="20"/>
              </w:rPr>
              <w:t>ognition EHCP outcomes for pupils following the pre-formal curriculum</w:t>
            </w:r>
            <w:r w:rsidR="00175045">
              <w:rPr>
                <w:sz w:val="20"/>
                <w:szCs w:val="20"/>
              </w:rPr>
              <w:t xml:space="preserve"> pathway</w:t>
            </w:r>
            <w:r w:rsidR="00D32167" w:rsidRPr="00D32167">
              <w:rPr>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EA011DA" w:rsidR="00E66558" w:rsidRDefault="00D32167" w:rsidP="00AF174B">
            <w:pPr>
              <w:pStyle w:val="TableRowCentered"/>
              <w:jc w:val="left"/>
              <w:rPr>
                <w:sz w:val="22"/>
                <w:szCs w:val="22"/>
              </w:rPr>
            </w:pPr>
            <w:r w:rsidRPr="00D32167">
              <w:rPr>
                <w:sz w:val="20"/>
              </w:rPr>
              <w:t xml:space="preserve">Through </w:t>
            </w:r>
            <w:r w:rsidR="00AF174B">
              <w:rPr>
                <w:sz w:val="20"/>
              </w:rPr>
              <w:t xml:space="preserve">improved </w:t>
            </w:r>
            <w:r w:rsidRPr="00D32167">
              <w:rPr>
                <w:sz w:val="20"/>
              </w:rPr>
              <w:t xml:space="preserve">achievement of </w:t>
            </w:r>
            <w:r w:rsidR="00AF174B">
              <w:rPr>
                <w:sz w:val="20"/>
              </w:rPr>
              <w:t>cognition</w:t>
            </w:r>
            <w:r w:rsidRPr="00D32167">
              <w:rPr>
                <w:sz w:val="20"/>
              </w:rPr>
              <w:t xml:space="preserve"> EHCP</w:t>
            </w:r>
            <w:r w:rsidR="00AF174B">
              <w:rPr>
                <w:sz w:val="20"/>
              </w:rPr>
              <w:t xml:space="preserve"> annual targets and </w:t>
            </w:r>
            <w:r w:rsidRPr="00D32167">
              <w:rPr>
                <w:sz w:val="20"/>
              </w:rPr>
              <w:t xml:space="preserve">outcomes for pupils </w:t>
            </w:r>
            <w:r w:rsidR="00AF174B">
              <w:rPr>
                <w:sz w:val="20"/>
              </w:rPr>
              <w:t>following the pre-formal pathway</w:t>
            </w:r>
            <w:r w:rsidRPr="00D32167">
              <w:rPr>
                <w:sz w:val="20"/>
              </w:rPr>
              <w:t>, as demonstrated by</w:t>
            </w:r>
            <w:r w:rsidR="00AF174B">
              <w:rPr>
                <w:sz w:val="20"/>
              </w:rPr>
              <w:t xml:space="preserve"> </w:t>
            </w:r>
            <w:r w:rsidRPr="00D32167">
              <w:rPr>
                <w:sz w:val="20"/>
              </w:rPr>
              <w:t>our end of year assessments at the end of</w:t>
            </w:r>
            <w:r w:rsidR="00AF174B">
              <w:rPr>
                <w:sz w:val="20"/>
              </w:rPr>
              <w:t xml:space="preserve"> </w:t>
            </w:r>
            <w:r w:rsidRPr="00D32167">
              <w:rPr>
                <w:sz w:val="20"/>
              </w:rPr>
              <w:t>our strategy in 2024/25.</w:t>
            </w:r>
          </w:p>
        </w:tc>
      </w:tr>
      <w:tr w:rsidR="00365F9C" w14:paraId="514640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A84D" w14:textId="7870F623" w:rsidR="00365F9C" w:rsidRPr="00D32167" w:rsidRDefault="00365F9C" w:rsidP="00365F9C">
            <w:pPr>
              <w:pStyle w:val="TableRow"/>
              <w:rPr>
                <w:sz w:val="20"/>
                <w:szCs w:val="20"/>
              </w:rPr>
            </w:pPr>
            <w:r w:rsidRPr="00D32167">
              <w:rPr>
                <w:sz w:val="20"/>
                <w:szCs w:val="20"/>
              </w:rPr>
              <w:t>Imp</w:t>
            </w:r>
            <w:r>
              <w:rPr>
                <w:sz w:val="20"/>
                <w:szCs w:val="20"/>
              </w:rPr>
              <w:t>roved progress towards Communication</w:t>
            </w:r>
            <w:r w:rsidRPr="00D32167">
              <w:rPr>
                <w:sz w:val="20"/>
                <w:szCs w:val="20"/>
              </w:rPr>
              <w:t xml:space="preserve"> </w:t>
            </w:r>
            <w:r w:rsidR="005961C3">
              <w:rPr>
                <w:sz w:val="20"/>
                <w:szCs w:val="20"/>
              </w:rPr>
              <w:t xml:space="preserve">and Social, Emotional and Mental Health </w:t>
            </w:r>
            <w:r w:rsidRPr="00D32167">
              <w:rPr>
                <w:sz w:val="20"/>
                <w:szCs w:val="20"/>
              </w:rPr>
              <w:t xml:space="preserve">EHCP outcomes for pupils </w:t>
            </w:r>
            <w:r w:rsidRPr="00365F9C">
              <w:rPr>
                <w:sz w:val="20"/>
                <w:szCs w:val="20"/>
              </w:rPr>
              <w:t>with a clear discrepancy between their level of understanding and their ability to speak</w:t>
            </w:r>
            <w:r w:rsidR="00801EE4">
              <w:rPr>
                <w:sz w:val="20"/>
                <w:szCs w:val="20"/>
              </w:rPr>
              <w:t xml:space="preserve"> and social communication difficulties</w:t>
            </w:r>
            <w:r>
              <w:rPr>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6931" w14:textId="0565062F" w:rsidR="00365F9C" w:rsidRPr="00D32167" w:rsidRDefault="00365F9C" w:rsidP="00AF174B">
            <w:pPr>
              <w:pStyle w:val="TableRowCentered"/>
              <w:jc w:val="left"/>
              <w:rPr>
                <w:sz w:val="20"/>
              </w:rPr>
            </w:pPr>
            <w:r w:rsidRPr="00D32167">
              <w:rPr>
                <w:sz w:val="20"/>
              </w:rPr>
              <w:t xml:space="preserve">Through </w:t>
            </w:r>
            <w:r>
              <w:rPr>
                <w:sz w:val="20"/>
              </w:rPr>
              <w:t xml:space="preserve">improved </w:t>
            </w:r>
            <w:r w:rsidRPr="00D32167">
              <w:rPr>
                <w:sz w:val="20"/>
              </w:rPr>
              <w:t xml:space="preserve">achievement of </w:t>
            </w:r>
            <w:r>
              <w:rPr>
                <w:sz w:val="20"/>
              </w:rPr>
              <w:t>Communication</w:t>
            </w:r>
            <w:r w:rsidRPr="00D32167">
              <w:rPr>
                <w:sz w:val="20"/>
              </w:rPr>
              <w:t xml:space="preserve"> </w:t>
            </w:r>
            <w:r w:rsidR="00801EE4">
              <w:rPr>
                <w:sz w:val="20"/>
              </w:rPr>
              <w:t xml:space="preserve">and Social, Emotional and Mental Wellbeing </w:t>
            </w:r>
            <w:r w:rsidRPr="00D32167">
              <w:rPr>
                <w:sz w:val="20"/>
              </w:rPr>
              <w:t>EHCP</w:t>
            </w:r>
            <w:r>
              <w:rPr>
                <w:sz w:val="20"/>
              </w:rPr>
              <w:t xml:space="preserve"> annual targets and </w:t>
            </w:r>
            <w:r w:rsidRPr="00D32167">
              <w:rPr>
                <w:sz w:val="20"/>
              </w:rPr>
              <w:t xml:space="preserve">outcomes for pupils </w:t>
            </w:r>
            <w:r w:rsidRPr="00365F9C">
              <w:rPr>
                <w:sz w:val="20"/>
              </w:rPr>
              <w:t>with a clear discrepancy between their level of understan</w:t>
            </w:r>
            <w:r>
              <w:rPr>
                <w:sz w:val="20"/>
              </w:rPr>
              <w:t>ding and their ability to speak</w:t>
            </w:r>
            <w:r w:rsidR="00801EE4">
              <w:rPr>
                <w:sz w:val="20"/>
              </w:rPr>
              <w:t xml:space="preserve"> and social communication difficulties</w:t>
            </w:r>
            <w:r w:rsidRPr="00D32167">
              <w:rPr>
                <w:sz w:val="20"/>
              </w:rPr>
              <w:t>, as demonstrated by</w:t>
            </w:r>
            <w:r>
              <w:rPr>
                <w:sz w:val="20"/>
              </w:rPr>
              <w:t xml:space="preserve"> </w:t>
            </w:r>
            <w:r w:rsidRPr="00D32167">
              <w:rPr>
                <w:sz w:val="20"/>
              </w:rPr>
              <w:t>our end of year assessments at the end of</w:t>
            </w:r>
            <w:r>
              <w:rPr>
                <w:sz w:val="20"/>
              </w:rPr>
              <w:t xml:space="preserve"> </w:t>
            </w:r>
            <w:r w:rsidRPr="00D32167">
              <w:rPr>
                <w:sz w:val="20"/>
              </w:rPr>
              <w:t>our strategy in 2024/25.</w:t>
            </w:r>
          </w:p>
        </w:tc>
      </w:tr>
    </w:tbl>
    <w:p w14:paraId="5DC33452" w14:textId="77777777" w:rsidR="00EE4A81" w:rsidRDefault="00EE4A81" w:rsidP="00EE4A81">
      <w:pPr>
        <w:pStyle w:val="Heading2"/>
      </w:pPr>
      <w:r>
        <w:lastRenderedPageBreak/>
        <w:t>Activity in this academic year</w:t>
      </w:r>
    </w:p>
    <w:p w14:paraId="24BB2274" w14:textId="77777777" w:rsidR="00EE4A81" w:rsidRDefault="00EE4A81" w:rsidP="00EE4A81">
      <w:pPr>
        <w:spacing w:after="480"/>
      </w:pPr>
      <w:r>
        <w:t xml:space="preserve">This details how we intend to spend our pupil premium (and recovery premium) funding </w:t>
      </w:r>
      <w:r>
        <w:rPr>
          <w:b/>
          <w:bCs/>
        </w:rPr>
        <w:t>this academic year</w:t>
      </w:r>
      <w:r>
        <w:t xml:space="preserve"> to address the challenges listed above.</w:t>
      </w:r>
    </w:p>
    <w:p w14:paraId="3A258EDD" w14:textId="77777777" w:rsidR="00EE4A81" w:rsidRDefault="00EE4A81" w:rsidP="00EE4A81">
      <w:pPr>
        <w:pStyle w:val="Heading3"/>
      </w:pPr>
      <w:r>
        <w:t>Teaching (for example, CPD, recruitment and retention)</w:t>
      </w:r>
    </w:p>
    <w:p w14:paraId="4DE67C24" w14:textId="4A4B55D3" w:rsidR="00EE4A81" w:rsidRDefault="00EE4A81" w:rsidP="00EE4A81">
      <w:r>
        <w:t>Budgeted cost: £</w:t>
      </w:r>
      <w:r w:rsidR="00141CC8">
        <w:t>12,985</w:t>
      </w:r>
    </w:p>
    <w:tbl>
      <w:tblPr>
        <w:tblW w:w="0" w:type="auto"/>
        <w:tblLayout w:type="fixed"/>
        <w:tblCellMar>
          <w:left w:w="10" w:type="dxa"/>
          <w:right w:w="10" w:type="dxa"/>
        </w:tblCellMar>
        <w:tblLook w:val="04A0" w:firstRow="1" w:lastRow="0" w:firstColumn="1" w:lastColumn="0" w:noHBand="0" w:noVBand="1"/>
      </w:tblPr>
      <w:tblGrid>
        <w:gridCol w:w="2688"/>
        <w:gridCol w:w="4254"/>
        <w:gridCol w:w="2544"/>
      </w:tblGrid>
      <w:tr w:rsidR="00EE4A81" w14:paraId="19F34E44" w14:textId="77777777" w:rsidTr="00FB0B4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355256" w14:textId="77777777" w:rsidR="00EE4A81" w:rsidRDefault="00EE4A81" w:rsidP="00CD0C80">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EA47E3C" w14:textId="77777777" w:rsidR="00EE4A81" w:rsidRDefault="00EE4A81" w:rsidP="00CD0C80">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8BD191" w14:textId="77777777" w:rsidR="00EE4A81" w:rsidRDefault="00EE4A81" w:rsidP="00CD0C80">
            <w:pPr>
              <w:pStyle w:val="TableHeader"/>
              <w:jc w:val="left"/>
            </w:pPr>
            <w:r>
              <w:t>Challenge number(s) addressed</w:t>
            </w:r>
          </w:p>
        </w:tc>
      </w:tr>
      <w:tr w:rsidR="00EE4A81" w14:paraId="65FDB712" w14:textId="77777777" w:rsidTr="0020026D">
        <w:trPr>
          <w:trHeight w:val="82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4F16" w14:textId="77777777" w:rsidR="00EE4A81" w:rsidRDefault="00EE4A81" w:rsidP="00CD0C80">
            <w:pPr>
              <w:pStyle w:val="TableRow"/>
            </w:pPr>
            <w:r>
              <w:rPr>
                <w:i/>
                <w:iCs/>
                <w:sz w:val="22"/>
                <w:szCs w:val="22"/>
              </w:rPr>
              <w:t>CPD on supporting pupils with social communication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C44E" w14:textId="5AE64582" w:rsidR="00FB0B4D" w:rsidRPr="00830B6A" w:rsidRDefault="00CD0C80" w:rsidP="00FB0B4D">
            <w:pPr>
              <w:pStyle w:val="TableRowCentered"/>
              <w:ind w:left="0"/>
              <w:jc w:val="left"/>
              <w:rPr>
                <w:sz w:val="18"/>
                <w:szCs w:val="18"/>
              </w:rPr>
            </w:pPr>
            <w:hyperlink r:id="rId7" w:history="1">
              <w:r w:rsidR="00FB0B4D" w:rsidRPr="00830B6A">
                <w:rPr>
                  <w:rStyle w:val="Hyperlink"/>
                  <w:sz w:val="18"/>
                  <w:szCs w:val="18"/>
                </w:rPr>
                <w:t>www.autismeducationtrust.org.uk/sites/default/files/2022-04/SASS-Strategies-for-supporting-children-on-the-Autism-Spectrum-in-the-Early-Years.pdf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3987D" w14:textId="3D309563" w:rsidR="00EE4A81" w:rsidRDefault="00D44189" w:rsidP="00CD0C80">
            <w:pPr>
              <w:pStyle w:val="TableRowCentered"/>
              <w:jc w:val="left"/>
              <w:rPr>
                <w:sz w:val="22"/>
              </w:rPr>
            </w:pPr>
            <w:r>
              <w:rPr>
                <w:sz w:val="22"/>
              </w:rPr>
              <w:t>1,2,3,</w:t>
            </w:r>
            <w:r w:rsidR="005961C3">
              <w:rPr>
                <w:sz w:val="22"/>
              </w:rPr>
              <w:t>4</w:t>
            </w:r>
          </w:p>
        </w:tc>
      </w:tr>
      <w:tr w:rsidR="00EE4A81" w14:paraId="2AF975B9" w14:textId="77777777" w:rsidTr="00FB0B4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9D06" w14:textId="0BEB9C1B" w:rsidR="00EE4A81" w:rsidRDefault="00EE4A81" w:rsidP="00CD0C80">
            <w:pPr>
              <w:pStyle w:val="TableRow"/>
              <w:rPr>
                <w:i/>
                <w:sz w:val="22"/>
              </w:rPr>
            </w:pPr>
            <w:r>
              <w:rPr>
                <w:i/>
                <w:sz w:val="22"/>
              </w:rPr>
              <w:t xml:space="preserve">Positive Behaviour </w:t>
            </w:r>
            <w:r w:rsidR="004C54DF">
              <w:rPr>
                <w:i/>
                <w:sz w:val="22"/>
              </w:rPr>
              <w:t xml:space="preserve">Support </w:t>
            </w:r>
            <w:r>
              <w:rPr>
                <w:i/>
                <w:sz w:val="22"/>
              </w:rPr>
              <w:t>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39A5" w14:textId="77777777" w:rsidR="0077462F" w:rsidRDefault="00CD0C80" w:rsidP="00CD0C80">
            <w:pPr>
              <w:pStyle w:val="TableRowCentered"/>
              <w:jc w:val="left"/>
              <w:rPr>
                <w:sz w:val="18"/>
                <w:szCs w:val="18"/>
              </w:rPr>
            </w:pPr>
            <w:hyperlink r:id="rId8" w:history="1">
              <w:r w:rsidR="004C54DF" w:rsidRPr="00830B6A">
                <w:rPr>
                  <w:rStyle w:val="Hyperlink"/>
                  <w:sz w:val="18"/>
                  <w:szCs w:val="18"/>
                </w:rPr>
                <w:t>www.zonesofregulation.com/research--evidence-base.html#</w:t>
              </w:r>
            </w:hyperlink>
            <w:r w:rsidR="004C54DF" w:rsidRPr="00830B6A">
              <w:rPr>
                <w:sz w:val="18"/>
                <w:szCs w:val="18"/>
              </w:rPr>
              <w:t xml:space="preserve"> </w:t>
            </w:r>
          </w:p>
          <w:p w14:paraId="3FB9C165" w14:textId="77777777" w:rsidR="0077462F" w:rsidRDefault="00CD0C80" w:rsidP="0077462F">
            <w:pPr>
              <w:pStyle w:val="TableRowCentered"/>
              <w:jc w:val="left"/>
              <w:rPr>
                <w:sz w:val="18"/>
                <w:szCs w:val="18"/>
              </w:rPr>
            </w:pPr>
            <w:hyperlink r:id="rId9" w:history="1">
              <w:r w:rsidR="0077462F" w:rsidRPr="00135FA9">
                <w:rPr>
                  <w:rStyle w:val="Hyperlink"/>
                  <w:sz w:val="18"/>
                  <w:szCs w:val="18"/>
                </w:rPr>
                <w:t>https://educationendowmentfoundation.org.uk/education-evidence/early-years-toolkit/self-regulation-strategies</w:t>
              </w:r>
            </w:hyperlink>
            <w:r w:rsidR="0077462F">
              <w:rPr>
                <w:sz w:val="18"/>
                <w:szCs w:val="18"/>
              </w:rPr>
              <w:t xml:space="preserve"> </w:t>
            </w:r>
          </w:p>
          <w:p w14:paraId="2AA4C5A6" w14:textId="03924D00" w:rsidR="00422E19" w:rsidRPr="00830B6A" w:rsidRDefault="00422E19" w:rsidP="00422E19">
            <w:pPr>
              <w:pStyle w:val="TableRowCentered"/>
              <w:ind w:left="0"/>
              <w:jc w:val="left"/>
              <w:rPr>
                <w:sz w:val="18"/>
                <w:szCs w:val="18"/>
              </w:rPr>
            </w:pPr>
            <w:r>
              <w:rPr>
                <w:sz w:val="18"/>
                <w:szCs w:val="18"/>
              </w:rPr>
              <w:t>The EEF states research shows  s</w:t>
            </w:r>
            <w:r w:rsidRPr="00422E19">
              <w:rPr>
                <w:sz w:val="18"/>
                <w:szCs w:val="18"/>
              </w:rPr>
              <w:t>elf-regulation strategies have a positive impac</w:t>
            </w:r>
            <w:r>
              <w:rPr>
                <w:sz w:val="18"/>
                <w:szCs w:val="18"/>
              </w:rPr>
              <w:t xml:space="preserve">t </w:t>
            </w:r>
            <w:r w:rsidRPr="00422E19">
              <w:rPr>
                <w:sz w:val="18"/>
                <w:szCs w:val="18"/>
              </w:rPr>
              <w:t>and may be a cost-effective approach for raising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3C50" w14:textId="7B876123" w:rsidR="00EE4A81" w:rsidRDefault="005961C3" w:rsidP="00CD0C80">
            <w:pPr>
              <w:pStyle w:val="TableRowCentered"/>
              <w:jc w:val="left"/>
              <w:rPr>
                <w:sz w:val="22"/>
              </w:rPr>
            </w:pPr>
            <w:r>
              <w:rPr>
                <w:sz w:val="22"/>
              </w:rPr>
              <w:t>1,2,</w:t>
            </w:r>
            <w:r w:rsidR="00D44189">
              <w:rPr>
                <w:sz w:val="22"/>
              </w:rPr>
              <w:t>3,</w:t>
            </w:r>
            <w:r>
              <w:rPr>
                <w:sz w:val="22"/>
              </w:rPr>
              <w:t>4</w:t>
            </w:r>
          </w:p>
        </w:tc>
      </w:tr>
      <w:tr w:rsidR="00EE4A81" w14:paraId="0231F2CA" w14:textId="77777777" w:rsidTr="00FB0B4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F793" w14:textId="4C8810B5" w:rsidR="00EE4A81" w:rsidRDefault="0062782D" w:rsidP="0062782D">
            <w:pPr>
              <w:pStyle w:val="TableRow"/>
              <w:rPr>
                <w:i/>
                <w:sz w:val="22"/>
              </w:rPr>
            </w:pPr>
            <w:r>
              <w:rPr>
                <w:i/>
                <w:sz w:val="22"/>
              </w:rPr>
              <w:t>Total Communication</w:t>
            </w:r>
            <w:r w:rsidR="00EE4A81">
              <w:rPr>
                <w:i/>
                <w:sz w:val="22"/>
              </w:rPr>
              <w:t xml:space="preserve">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99B7" w14:textId="77777777" w:rsidR="00EE4A81" w:rsidRDefault="00CD0C80" w:rsidP="00317F4F">
            <w:pPr>
              <w:pStyle w:val="TableRowCentered"/>
              <w:ind w:left="0"/>
              <w:jc w:val="left"/>
              <w:rPr>
                <w:sz w:val="18"/>
                <w:szCs w:val="18"/>
              </w:rPr>
            </w:pPr>
            <w:hyperlink r:id="rId10" w:history="1">
              <w:r w:rsidR="00454E37" w:rsidRPr="00135FA9">
                <w:rPr>
                  <w:rStyle w:val="Hyperlink"/>
                  <w:sz w:val="18"/>
                  <w:szCs w:val="18"/>
                </w:rPr>
                <w:t>https://educationendowmentfoundation.org.uk/education-evidence/early-years-toolkit/communication-and-language-approaches</w:t>
              </w:r>
            </w:hyperlink>
            <w:r w:rsidR="00454E37">
              <w:rPr>
                <w:sz w:val="18"/>
                <w:szCs w:val="18"/>
              </w:rPr>
              <w:t xml:space="preserve"> </w:t>
            </w:r>
          </w:p>
          <w:p w14:paraId="2E97932D" w14:textId="5FD9DE2F" w:rsidR="007449DA" w:rsidRPr="00830B6A" w:rsidRDefault="007449DA" w:rsidP="00317F4F">
            <w:pPr>
              <w:pStyle w:val="TableRowCentered"/>
              <w:ind w:left="0"/>
              <w:jc w:val="left"/>
              <w:rPr>
                <w:sz w:val="18"/>
                <w:szCs w:val="18"/>
              </w:rPr>
            </w:pPr>
            <w:r>
              <w:rPr>
                <w:sz w:val="18"/>
                <w:szCs w:val="18"/>
              </w:rPr>
              <w:t>Evidence shows s</w:t>
            </w:r>
            <w:r w:rsidRPr="007449DA">
              <w:rPr>
                <w:sz w:val="18"/>
                <w:szCs w:val="18"/>
              </w:rPr>
              <w:t>taff are very likely to benefit from training or professional development to use programmes and approaches successfully.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F7D9" w14:textId="6D6F16FB" w:rsidR="00EE4A81" w:rsidRDefault="00D44189" w:rsidP="00CD0C80">
            <w:pPr>
              <w:pStyle w:val="TableRowCentered"/>
              <w:jc w:val="left"/>
              <w:rPr>
                <w:sz w:val="22"/>
              </w:rPr>
            </w:pPr>
            <w:r>
              <w:rPr>
                <w:sz w:val="22"/>
              </w:rPr>
              <w:t>1,2,3,4</w:t>
            </w:r>
          </w:p>
        </w:tc>
      </w:tr>
    </w:tbl>
    <w:p w14:paraId="513BD047" w14:textId="77777777" w:rsidR="00EE4A81" w:rsidRDefault="00EE4A81" w:rsidP="00EE4A81"/>
    <w:p w14:paraId="7EB203AA" w14:textId="77777777" w:rsidR="00EE4A81" w:rsidRPr="00AA355B" w:rsidRDefault="00EE4A81" w:rsidP="00EE4A81">
      <w:pPr>
        <w:pStyle w:val="Heading3"/>
      </w:pPr>
      <w:r>
        <w:t xml:space="preserve">Targeted academic support (for example, tutoring, one-to-one support, structured interventions) </w:t>
      </w:r>
    </w:p>
    <w:p w14:paraId="0E4399BB" w14:textId="052352DD" w:rsidR="00EE4A81" w:rsidRDefault="00EE4A81" w:rsidP="00EE4A81">
      <w:r>
        <w:t>Budgeted cost: £</w:t>
      </w:r>
      <w:r w:rsidR="00141CC8">
        <w:t>42,985</w:t>
      </w:r>
    </w:p>
    <w:tbl>
      <w:tblPr>
        <w:tblW w:w="0" w:type="auto"/>
        <w:tblLayout w:type="fixed"/>
        <w:tblCellMar>
          <w:left w:w="10" w:type="dxa"/>
          <w:right w:w="10" w:type="dxa"/>
        </w:tblCellMar>
        <w:tblLook w:val="04A0" w:firstRow="1" w:lastRow="0" w:firstColumn="1" w:lastColumn="0" w:noHBand="0" w:noVBand="1"/>
      </w:tblPr>
      <w:tblGrid>
        <w:gridCol w:w="2688"/>
        <w:gridCol w:w="4254"/>
        <w:gridCol w:w="2544"/>
      </w:tblGrid>
      <w:tr w:rsidR="00EE4A81" w14:paraId="26130FB5" w14:textId="77777777" w:rsidTr="00B43BB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6D4FE8" w14:textId="77777777" w:rsidR="00EE4A81" w:rsidRDefault="00EE4A81" w:rsidP="00CD0C80">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69F613B" w14:textId="77777777" w:rsidR="00EE4A81" w:rsidRDefault="00EE4A81" w:rsidP="00CD0C80">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61E820" w14:textId="77777777" w:rsidR="00EE4A81" w:rsidRDefault="00EE4A81" w:rsidP="00CD0C80">
            <w:pPr>
              <w:pStyle w:val="TableHeader"/>
              <w:jc w:val="left"/>
            </w:pPr>
            <w:r>
              <w:t>Challenge number(s) addressed</w:t>
            </w:r>
          </w:p>
        </w:tc>
      </w:tr>
      <w:tr w:rsidR="00EE4A81" w14:paraId="3AD3857B" w14:textId="77777777" w:rsidTr="00B43BB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64CD" w14:textId="77777777" w:rsidR="00EE4A81" w:rsidRDefault="00EE4A81" w:rsidP="00CD0C80">
            <w:pPr>
              <w:pStyle w:val="TableRow"/>
            </w:pPr>
            <w:r>
              <w:rPr>
                <w:i/>
                <w:iCs/>
                <w:sz w:val="22"/>
                <w:szCs w:val="22"/>
              </w:rPr>
              <w:t>Maths Interventions MLD / SLD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4F3" w14:textId="3254B292" w:rsidR="00483B82" w:rsidRDefault="00CD0C80" w:rsidP="00A0161E">
            <w:pPr>
              <w:pStyle w:val="TableRowCentered"/>
              <w:ind w:left="0"/>
              <w:jc w:val="left"/>
              <w:rPr>
                <w:sz w:val="18"/>
                <w:szCs w:val="18"/>
              </w:rPr>
            </w:pPr>
            <w:hyperlink r:id="rId11" w:history="1">
              <w:r w:rsidR="00483B82" w:rsidRPr="00135FA9">
                <w:rPr>
                  <w:rStyle w:val="Hyperlink"/>
                  <w:sz w:val="18"/>
                  <w:szCs w:val="18"/>
                </w:rPr>
                <w:t>https://educationendowmentfoundation.org.uk/education-evidence/teaching-learning-toolkit/one-to-one-tuition</w:t>
              </w:r>
            </w:hyperlink>
            <w:r w:rsidR="00483B82">
              <w:rPr>
                <w:sz w:val="18"/>
                <w:szCs w:val="18"/>
              </w:rPr>
              <w:t xml:space="preserve"> </w:t>
            </w:r>
          </w:p>
          <w:p w14:paraId="76534ACD" w14:textId="36B68B91" w:rsidR="00187C40" w:rsidRDefault="00187C40" w:rsidP="00A0161E">
            <w:pPr>
              <w:pStyle w:val="TableRowCentered"/>
              <w:ind w:left="0"/>
              <w:jc w:val="left"/>
              <w:rPr>
                <w:sz w:val="18"/>
                <w:szCs w:val="18"/>
              </w:rPr>
            </w:pPr>
            <w:r w:rsidRPr="00187C40">
              <w:rPr>
                <w:sz w:val="18"/>
                <w:szCs w:val="18"/>
              </w:rPr>
              <w:t>On average, one to one tuition is very effective at improving pupil outcomes. One to one tuition might be an effective strategy for providing targeted support for pupils that are identified as having low prior attainment or are struggling in particular areas.</w:t>
            </w:r>
          </w:p>
          <w:p w14:paraId="0E7DE258" w14:textId="547FF6B3" w:rsidR="00A0161E" w:rsidRPr="00830B6A" w:rsidRDefault="00CD0C80" w:rsidP="00A0161E">
            <w:pPr>
              <w:pStyle w:val="TableRowCentered"/>
              <w:ind w:left="0"/>
              <w:jc w:val="left"/>
              <w:rPr>
                <w:sz w:val="18"/>
                <w:szCs w:val="18"/>
              </w:rPr>
            </w:pPr>
            <w:hyperlink r:id="rId12" w:history="1">
              <w:r w:rsidR="00830B6A" w:rsidRPr="00830B6A">
                <w:rPr>
                  <w:rStyle w:val="Hyperlink"/>
                  <w:sz w:val="18"/>
                  <w:szCs w:val="18"/>
                </w:rPr>
                <w:t>https://d2tic4wvo1iusb.cloudfront.net/documents/pages/Tutoring_Guide_2022_V1.2.pdf?v=1668439120</w:t>
              </w:r>
            </w:hyperlink>
            <w:r w:rsidR="00830B6A" w:rsidRPr="00830B6A">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0398" w14:textId="6CDB0890" w:rsidR="00EE4A81" w:rsidRDefault="003F55F3" w:rsidP="00CD0C80">
            <w:pPr>
              <w:pStyle w:val="TableRowCentered"/>
              <w:jc w:val="left"/>
              <w:rPr>
                <w:sz w:val="22"/>
              </w:rPr>
            </w:pPr>
            <w:r>
              <w:rPr>
                <w:sz w:val="22"/>
              </w:rPr>
              <w:t>1</w:t>
            </w:r>
          </w:p>
        </w:tc>
      </w:tr>
      <w:tr w:rsidR="00EE4A81" w14:paraId="4D83BDDF" w14:textId="77777777" w:rsidTr="00B43BB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A06A" w14:textId="77777777" w:rsidR="00EE4A81" w:rsidRDefault="00EE4A81" w:rsidP="00CD0C80">
            <w:pPr>
              <w:pStyle w:val="TableRow"/>
              <w:rPr>
                <w:i/>
                <w:sz w:val="22"/>
              </w:rPr>
            </w:pPr>
            <w:r>
              <w:rPr>
                <w:i/>
                <w:sz w:val="22"/>
              </w:rPr>
              <w:lastRenderedPageBreak/>
              <w:t>Reading interventions MLD / SLD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DE28" w14:textId="4AC5BB55" w:rsidR="00830B6A" w:rsidRDefault="00063D2A" w:rsidP="000F360F">
            <w:pPr>
              <w:pStyle w:val="TableRowCentered"/>
              <w:ind w:left="0"/>
              <w:jc w:val="left"/>
              <w:rPr>
                <w:sz w:val="18"/>
                <w:szCs w:val="18"/>
              </w:rPr>
            </w:pPr>
            <w:r>
              <w:rPr>
                <w:sz w:val="18"/>
                <w:szCs w:val="18"/>
              </w:rPr>
              <w:t>The results of the</w:t>
            </w:r>
            <w:r w:rsidR="00435C6F" w:rsidRPr="00435C6F">
              <w:rPr>
                <w:sz w:val="18"/>
                <w:szCs w:val="18"/>
              </w:rPr>
              <w:t xml:space="preserve"> evaluation </w:t>
            </w:r>
            <w:r>
              <w:rPr>
                <w:sz w:val="18"/>
                <w:szCs w:val="18"/>
              </w:rPr>
              <w:t xml:space="preserve">below </w:t>
            </w:r>
            <w:r w:rsidR="00435C6F" w:rsidRPr="00435C6F">
              <w:rPr>
                <w:sz w:val="18"/>
                <w:szCs w:val="18"/>
              </w:rPr>
              <w:t>suggest that pupils allocated to the Read Write Inc. Phonics intervention group made more progress in reading than pupils in other schools</w:t>
            </w:r>
          </w:p>
          <w:p w14:paraId="2F7AEF74" w14:textId="252B33FF" w:rsidR="00EE4A81" w:rsidRPr="00830B6A" w:rsidRDefault="00CD0C80" w:rsidP="00452B02">
            <w:pPr>
              <w:pStyle w:val="TableRowCentered"/>
              <w:ind w:left="0"/>
              <w:jc w:val="left"/>
              <w:rPr>
                <w:sz w:val="18"/>
                <w:szCs w:val="18"/>
              </w:rPr>
            </w:pPr>
            <w:hyperlink r:id="rId13" w:anchor=":~:text=There%20is%20extensive%20evidence%20in,to%20the%20Read%20Write%20Inc" w:history="1">
              <w:r w:rsidR="00435C6F" w:rsidRPr="00135FA9">
                <w:rPr>
                  <w:rStyle w:val="Hyperlink"/>
                  <w:sz w:val="18"/>
                  <w:szCs w:val="18"/>
                </w:rPr>
                <w:t>https://educationendowmentfoundation.org.uk/projects-and-evaluation/projects/read-write-inc-and-fresh-start#:~:text=There%20is%20extensive%20evidence%20in,to%20the%20Read%20Write%20Inc</w:t>
              </w:r>
            </w:hyperlink>
            <w:r w:rsidR="00435C6F" w:rsidRPr="00435C6F">
              <w:rPr>
                <w:sz w:val="18"/>
                <w:szCs w:val="18"/>
              </w:rPr>
              <w:t>.</w:t>
            </w:r>
            <w:r w:rsidR="00435C6F">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1307" w14:textId="2BB22667" w:rsidR="00EE4A81" w:rsidRDefault="003F55F3" w:rsidP="00CD0C80">
            <w:pPr>
              <w:pStyle w:val="TableRowCentered"/>
              <w:jc w:val="left"/>
              <w:rPr>
                <w:sz w:val="22"/>
              </w:rPr>
            </w:pPr>
            <w:r>
              <w:rPr>
                <w:sz w:val="22"/>
              </w:rPr>
              <w:t>1</w:t>
            </w:r>
          </w:p>
        </w:tc>
      </w:tr>
      <w:tr w:rsidR="00EE4A81" w14:paraId="21C34467" w14:textId="77777777" w:rsidTr="00B43BB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F50B" w14:textId="2BB8D151" w:rsidR="00EE4A81" w:rsidRDefault="0077462F" w:rsidP="00CD0C80">
            <w:pPr>
              <w:pStyle w:val="TableRow"/>
              <w:rPr>
                <w:i/>
                <w:sz w:val="22"/>
              </w:rPr>
            </w:pPr>
            <w:r>
              <w:rPr>
                <w:i/>
                <w:sz w:val="22"/>
              </w:rPr>
              <w:t xml:space="preserve">Total </w:t>
            </w:r>
            <w:r w:rsidR="00EE4A81">
              <w:rPr>
                <w:i/>
                <w:sz w:val="22"/>
              </w:rPr>
              <w:t>Communication Interventions non-verbal pupils</w:t>
            </w:r>
            <w:r>
              <w:rPr>
                <w:i/>
                <w:sz w:val="22"/>
              </w:rPr>
              <w:t xml:space="preserve"> / social communication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B001A" w14:textId="77777777" w:rsidR="00454E37" w:rsidRDefault="00CD0C80" w:rsidP="00CD0C80">
            <w:pPr>
              <w:pStyle w:val="TableRowCentered"/>
              <w:jc w:val="left"/>
              <w:rPr>
                <w:sz w:val="18"/>
                <w:szCs w:val="18"/>
              </w:rPr>
            </w:pPr>
            <w:hyperlink r:id="rId14" w:history="1">
              <w:r w:rsidR="00454E37" w:rsidRPr="00135FA9">
                <w:rPr>
                  <w:rStyle w:val="Hyperlink"/>
                  <w:sz w:val="18"/>
                  <w:szCs w:val="18"/>
                </w:rPr>
                <w:t>https://educationendowmentfoundation.org.uk/education-evidence/early-years-toolkit/communication-and-language-approaches</w:t>
              </w:r>
            </w:hyperlink>
            <w:r w:rsidR="00454E37">
              <w:rPr>
                <w:sz w:val="18"/>
                <w:szCs w:val="18"/>
              </w:rPr>
              <w:t xml:space="preserve"> </w:t>
            </w:r>
          </w:p>
          <w:p w14:paraId="7C208973" w14:textId="138BA66A" w:rsidR="00454E37" w:rsidRPr="00830B6A" w:rsidRDefault="00A1206D" w:rsidP="00CD0C80">
            <w:pPr>
              <w:pStyle w:val="TableRowCentered"/>
              <w:jc w:val="left"/>
              <w:rPr>
                <w:sz w:val="18"/>
                <w:szCs w:val="18"/>
              </w:rPr>
            </w:pPr>
            <w:r w:rsidRPr="00A1206D">
              <w:rPr>
                <w:sz w:val="18"/>
                <w:szCs w:val="18"/>
              </w:rPr>
              <w:t>Communication and language approaches typically have a very high impact and increase young children’s learning by seven months.</w:t>
            </w:r>
            <w:r>
              <w:t xml:space="preserve"> </w:t>
            </w:r>
            <w:r w:rsidRPr="00A1206D">
              <w:rPr>
                <w:sz w:val="18"/>
                <w:szCs w:val="18"/>
              </w:rPr>
              <w:t>Positive effects have been identified on early language and literacy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F48C" w14:textId="12AB9A23" w:rsidR="00EE4A81" w:rsidRDefault="00D44189" w:rsidP="00CD0C80">
            <w:pPr>
              <w:pStyle w:val="TableRowCentered"/>
              <w:jc w:val="left"/>
              <w:rPr>
                <w:sz w:val="22"/>
              </w:rPr>
            </w:pPr>
            <w:r>
              <w:rPr>
                <w:sz w:val="22"/>
              </w:rPr>
              <w:t>3,</w:t>
            </w:r>
            <w:r w:rsidR="003F55F3">
              <w:rPr>
                <w:sz w:val="22"/>
              </w:rPr>
              <w:t>4</w:t>
            </w:r>
          </w:p>
        </w:tc>
      </w:tr>
    </w:tbl>
    <w:p w14:paraId="5B23D6F8" w14:textId="77777777" w:rsidR="00EE4A81" w:rsidRDefault="00EE4A81" w:rsidP="00EE4A81"/>
    <w:p w14:paraId="08FAC0BD" w14:textId="77777777" w:rsidR="00EE4A81" w:rsidRPr="00AA355B" w:rsidRDefault="00EE4A81" w:rsidP="00EE4A81">
      <w:pPr>
        <w:pStyle w:val="Heading3"/>
      </w:pPr>
      <w:r>
        <w:t>Wider strategies (for example, related to attendance, behaviour, wellbeing)</w:t>
      </w:r>
    </w:p>
    <w:p w14:paraId="16C0C191" w14:textId="35671AF1" w:rsidR="00EE4A81" w:rsidRDefault="0062782D" w:rsidP="00EE4A81">
      <w:pPr>
        <w:spacing w:before="240" w:after="120"/>
      </w:pPr>
      <w:r>
        <w:t>Budgeted cost: £</w:t>
      </w:r>
      <w:r w:rsidR="00141CC8">
        <w:t>42,985</w:t>
      </w:r>
      <w:r w:rsidR="00EB1EBB">
        <w:t xml:space="preserve"> </w:t>
      </w:r>
    </w:p>
    <w:tbl>
      <w:tblPr>
        <w:tblW w:w="0" w:type="auto"/>
        <w:tblLayout w:type="fixed"/>
        <w:tblCellMar>
          <w:left w:w="10" w:type="dxa"/>
          <w:right w:w="10" w:type="dxa"/>
        </w:tblCellMar>
        <w:tblLook w:val="04A0" w:firstRow="1" w:lastRow="0" w:firstColumn="1" w:lastColumn="0" w:noHBand="0" w:noVBand="1"/>
      </w:tblPr>
      <w:tblGrid>
        <w:gridCol w:w="2688"/>
        <w:gridCol w:w="4254"/>
        <w:gridCol w:w="2544"/>
      </w:tblGrid>
      <w:tr w:rsidR="00EE4A81" w14:paraId="4CFAD4C3" w14:textId="77777777" w:rsidTr="0087683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CEA646" w14:textId="77777777" w:rsidR="00EE4A81" w:rsidRDefault="00EE4A81" w:rsidP="00CD0C80">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CDBA06" w14:textId="77777777" w:rsidR="00EE4A81" w:rsidRDefault="00EE4A81" w:rsidP="00CD0C80">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6655EB" w14:textId="77777777" w:rsidR="00EE4A81" w:rsidRDefault="00EE4A81" w:rsidP="00CD0C80">
            <w:pPr>
              <w:pStyle w:val="TableHeader"/>
              <w:jc w:val="left"/>
            </w:pPr>
            <w:r>
              <w:t>Challenge number(s) addressed</w:t>
            </w:r>
          </w:p>
        </w:tc>
      </w:tr>
      <w:tr w:rsidR="00EE4A81" w14:paraId="357D26C5" w14:textId="77777777" w:rsidTr="0087683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261D" w14:textId="77777777" w:rsidR="00EE4A81" w:rsidRDefault="00EE4A81" w:rsidP="00CD0C80">
            <w:pPr>
              <w:pStyle w:val="TableRow"/>
            </w:pPr>
            <w:r>
              <w:rPr>
                <w:i/>
                <w:iCs/>
                <w:sz w:val="22"/>
                <w:szCs w:val="22"/>
              </w:rPr>
              <w:t>Music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F65D9" w14:textId="77777777" w:rsidR="00EE4A81" w:rsidRDefault="0020606B" w:rsidP="00CD0C80">
            <w:pPr>
              <w:pStyle w:val="TableRowCentered"/>
              <w:jc w:val="left"/>
              <w:rPr>
                <w:sz w:val="18"/>
                <w:szCs w:val="18"/>
              </w:rPr>
            </w:pPr>
            <w:r>
              <w:rPr>
                <w:sz w:val="18"/>
                <w:szCs w:val="18"/>
              </w:rPr>
              <w:t>CYP</w:t>
            </w:r>
            <w:r w:rsidRPr="0020606B">
              <w:rPr>
                <w:sz w:val="18"/>
                <w:szCs w:val="18"/>
              </w:rPr>
              <w:t xml:space="preserve"> with PMLD can often develop a social connection through improvised music making.</w:t>
            </w:r>
            <w:r>
              <w:rPr>
                <w:sz w:val="18"/>
                <w:szCs w:val="18"/>
              </w:rPr>
              <w:t xml:space="preserve"> N</w:t>
            </w:r>
            <w:r w:rsidRPr="0020606B">
              <w:rPr>
                <w:sz w:val="18"/>
                <w:szCs w:val="18"/>
              </w:rPr>
              <w:t>on- verbal musical exchanges between client and therapist can aid the development of communication</w:t>
            </w:r>
            <w:r>
              <w:rPr>
                <w:sz w:val="18"/>
                <w:szCs w:val="18"/>
              </w:rPr>
              <w:t>.</w:t>
            </w:r>
          </w:p>
          <w:p w14:paraId="05E0083F" w14:textId="5B6BC1A8" w:rsidR="0020606B" w:rsidRPr="00876832" w:rsidRDefault="00CD0C80" w:rsidP="00CD0C80">
            <w:pPr>
              <w:pStyle w:val="TableRowCentered"/>
              <w:jc w:val="left"/>
              <w:rPr>
                <w:sz w:val="18"/>
                <w:szCs w:val="18"/>
              </w:rPr>
            </w:pPr>
            <w:hyperlink r:id="rId15" w:history="1">
              <w:r w:rsidR="0020606B" w:rsidRPr="00135FA9">
                <w:rPr>
                  <w:rStyle w:val="Hyperlink"/>
                  <w:sz w:val="18"/>
                  <w:szCs w:val="18"/>
                </w:rPr>
                <w:t>https://senmagazine.co.uk/content/specific-needs/pmld/15866/music-therapy-and-pmld/</w:t>
              </w:r>
            </w:hyperlink>
            <w:r w:rsidR="0020606B">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06F7" w14:textId="3CC8CF80" w:rsidR="00EE4A81" w:rsidRDefault="00D44189" w:rsidP="00CD0C80">
            <w:pPr>
              <w:pStyle w:val="TableRowCentered"/>
              <w:jc w:val="left"/>
              <w:rPr>
                <w:sz w:val="22"/>
              </w:rPr>
            </w:pPr>
            <w:r>
              <w:rPr>
                <w:sz w:val="22"/>
              </w:rPr>
              <w:t>2,3,4</w:t>
            </w:r>
          </w:p>
        </w:tc>
      </w:tr>
      <w:tr w:rsidR="00EE4A81" w14:paraId="72FC823E" w14:textId="77777777" w:rsidTr="0087683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522EB" w14:textId="77777777" w:rsidR="00EE4A81" w:rsidRDefault="00EE4A81" w:rsidP="00CD0C80">
            <w:pPr>
              <w:pStyle w:val="TableRow"/>
              <w:rPr>
                <w:i/>
                <w:sz w:val="22"/>
              </w:rPr>
            </w:pPr>
            <w:r>
              <w:rPr>
                <w:i/>
                <w:sz w:val="22"/>
              </w:rPr>
              <w:t>Changes to the classroom environment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695D" w14:textId="422E1C9A" w:rsidR="00BA05CC" w:rsidRDefault="00BA05CC" w:rsidP="00CD0C80">
            <w:pPr>
              <w:pStyle w:val="TableRowCentered"/>
              <w:jc w:val="left"/>
              <w:rPr>
                <w:sz w:val="18"/>
                <w:szCs w:val="18"/>
              </w:rPr>
            </w:pPr>
            <w:r>
              <w:rPr>
                <w:sz w:val="18"/>
                <w:szCs w:val="18"/>
              </w:rPr>
              <w:t>There is evidence that children can be</w:t>
            </w:r>
            <w:r w:rsidRPr="00BA05CC">
              <w:rPr>
                <w:sz w:val="18"/>
                <w:szCs w:val="18"/>
              </w:rPr>
              <w:t xml:space="preserve"> distracted </w:t>
            </w:r>
            <w:r>
              <w:rPr>
                <w:sz w:val="18"/>
                <w:szCs w:val="18"/>
              </w:rPr>
              <w:t>by the visual environment, spending</w:t>
            </w:r>
            <w:r w:rsidRPr="00BA05CC">
              <w:rPr>
                <w:sz w:val="18"/>
                <w:szCs w:val="18"/>
              </w:rPr>
              <w:t xml:space="preserve"> more</w:t>
            </w:r>
            <w:r>
              <w:rPr>
                <w:sz w:val="18"/>
                <w:szCs w:val="18"/>
              </w:rPr>
              <w:t xml:space="preserve"> time off task, and demonstrating</w:t>
            </w:r>
            <w:r w:rsidRPr="00BA05CC">
              <w:rPr>
                <w:sz w:val="18"/>
                <w:szCs w:val="18"/>
              </w:rPr>
              <w:t xml:space="preserve"> smaller le</w:t>
            </w:r>
            <w:r>
              <w:rPr>
                <w:sz w:val="18"/>
                <w:szCs w:val="18"/>
              </w:rPr>
              <w:t>arning gains when walls are</w:t>
            </w:r>
            <w:r w:rsidRPr="00BA05CC">
              <w:rPr>
                <w:sz w:val="18"/>
                <w:szCs w:val="18"/>
              </w:rPr>
              <w:t xml:space="preserve"> highly decorated than when the decorations were removed.</w:t>
            </w:r>
            <w:r>
              <w:rPr>
                <w:sz w:val="18"/>
                <w:szCs w:val="18"/>
              </w:rPr>
              <w:t xml:space="preserve"> This is particularly the case for pupils with ASD and social communication difficulties.</w:t>
            </w:r>
          </w:p>
          <w:p w14:paraId="00595290" w14:textId="7C7EBFDD" w:rsidR="00EE4A81" w:rsidRPr="00876832" w:rsidRDefault="00CD0C80" w:rsidP="00CD0C80">
            <w:pPr>
              <w:pStyle w:val="TableRowCentered"/>
              <w:jc w:val="left"/>
              <w:rPr>
                <w:sz w:val="18"/>
                <w:szCs w:val="18"/>
              </w:rPr>
            </w:pPr>
            <w:hyperlink r:id="rId16" w:history="1">
              <w:r w:rsidR="00BA05CC" w:rsidRPr="00135FA9">
                <w:rPr>
                  <w:rStyle w:val="Hyperlink"/>
                  <w:sz w:val="18"/>
                  <w:szCs w:val="18"/>
                </w:rPr>
                <w:t>https://journals.sagepub.com/doi/abs/10.1177/0956797614533801</w:t>
              </w:r>
            </w:hyperlink>
            <w:r w:rsidR="00BA05CC">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12D5" w14:textId="2EC9FA53" w:rsidR="00EE4A81" w:rsidRDefault="00D44189" w:rsidP="00CD0C80">
            <w:pPr>
              <w:pStyle w:val="TableRowCentered"/>
              <w:jc w:val="left"/>
              <w:rPr>
                <w:sz w:val="22"/>
              </w:rPr>
            </w:pPr>
            <w:r>
              <w:rPr>
                <w:sz w:val="22"/>
              </w:rPr>
              <w:t>4</w:t>
            </w:r>
          </w:p>
        </w:tc>
      </w:tr>
      <w:tr w:rsidR="0062782D" w14:paraId="306C477F" w14:textId="77777777" w:rsidTr="0087683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9B42" w14:textId="3DACC3E1" w:rsidR="0062782D" w:rsidRDefault="0062782D" w:rsidP="00CD0C80">
            <w:pPr>
              <w:pStyle w:val="TableRow"/>
              <w:rPr>
                <w:i/>
                <w:sz w:val="22"/>
              </w:rPr>
            </w:pPr>
            <w:r>
              <w:rPr>
                <w:i/>
                <w:sz w:val="22"/>
              </w:rPr>
              <w:t>Education Welfare Officer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0BB8" w14:textId="238F2C48" w:rsidR="00876832" w:rsidRPr="00876832" w:rsidRDefault="00CD0C80" w:rsidP="00876832">
            <w:pPr>
              <w:pStyle w:val="TableRowCentered"/>
              <w:ind w:left="0"/>
              <w:jc w:val="left"/>
              <w:rPr>
                <w:sz w:val="18"/>
                <w:szCs w:val="18"/>
              </w:rPr>
            </w:pPr>
            <w:hyperlink r:id="rId17" w:history="1">
              <w:r w:rsidR="00876832" w:rsidRPr="00876832">
                <w:rPr>
                  <w:rStyle w:val="Hyperlink"/>
                  <w:sz w:val="18"/>
                  <w:szCs w:val="18"/>
                </w:rPr>
                <w:t>https://d2tic4wvo1iusb.cloudfront.net/documents/pages/projects/Attendance-REA-protocol-21092021.pdf?v=1678378813</w:t>
              </w:r>
            </w:hyperlink>
          </w:p>
          <w:p w14:paraId="708529E3" w14:textId="1B2D6425" w:rsidR="00876832" w:rsidRPr="00876832" w:rsidRDefault="00461065" w:rsidP="00461065">
            <w:pPr>
              <w:pStyle w:val="TableRowCentered"/>
              <w:jc w:val="left"/>
              <w:rPr>
                <w:sz w:val="18"/>
                <w:szCs w:val="18"/>
              </w:rPr>
            </w:pPr>
            <w:r w:rsidRPr="00461065">
              <w:rPr>
                <w:sz w:val="18"/>
                <w:szCs w:val="18"/>
              </w:rPr>
              <w:t>Research has found that poor attendance is linked to poor academic attainment across all stages (Balfanz &amp; Byrnes, 2012; London et al., 2016) as well as negative behavioural outcomes (Gottfried, 2014; Baker, Sigmon, &amp; Nugent, 2001).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CD7F" w14:textId="5B13CB5F" w:rsidR="0062782D" w:rsidRDefault="00D44189" w:rsidP="00CD0C80">
            <w:pPr>
              <w:pStyle w:val="TableRowCentered"/>
              <w:jc w:val="left"/>
              <w:rPr>
                <w:sz w:val="22"/>
              </w:rPr>
            </w:pPr>
            <w:r>
              <w:rPr>
                <w:sz w:val="22"/>
              </w:rPr>
              <w:t>2</w:t>
            </w:r>
          </w:p>
        </w:tc>
      </w:tr>
    </w:tbl>
    <w:p w14:paraId="4C52EEC9" w14:textId="02090863" w:rsidR="00EE4A81" w:rsidRPr="00F2544D" w:rsidRDefault="00EE4A81" w:rsidP="00ED5108">
      <w:pPr>
        <w:rPr>
          <w:color w:val="104F75"/>
        </w:rPr>
      </w:pPr>
    </w:p>
    <w:p w14:paraId="2F93672D" w14:textId="14C13B41" w:rsidR="00EB1EBB" w:rsidRPr="00AB3CC6" w:rsidRDefault="00EB1EBB" w:rsidP="00ED5108">
      <w:pPr>
        <w:rPr>
          <w:color w:val="17365D" w:themeColor="text2" w:themeShade="BF"/>
          <w:sz w:val="28"/>
          <w:szCs w:val="28"/>
        </w:rPr>
      </w:pPr>
      <w:r w:rsidRPr="00AB3CC6">
        <w:rPr>
          <w:b/>
          <w:bCs/>
          <w:color w:val="17365D" w:themeColor="text2" w:themeShade="BF"/>
          <w:sz w:val="28"/>
          <w:szCs w:val="28"/>
        </w:rPr>
        <w:t xml:space="preserve">Total budgeted cost: £ </w:t>
      </w:r>
      <w:r w:rsidR="00A95147" w:rsidRPr="00AB3CC6">
        <w:rPr>
          <w:b/>
          <w:color w:val="17365D" w:themeColor="text2" w:themeShade="BF"/>
          <w:sz w:val="28"/>
          <w:szCs w:val="28"/>
        </w:rPr>
        <w:t>9</w:t>
      </w:r>
      <w:r w:rsidR="001655DB">
        <w:rPr>
          <w:b/>
          <w:color w:val="17365D" w:themeColor="text2" w:themeShade="BF"/>
          <w:sz w:val="28"/>
          <w:szCs w:val="28"/>
        </w:rPr>
        <w:t>8,955</w:t>
      </w:r>
    </w:p>
    <w:p w14:paraId="2A7D5542" w14:textId="18352EC3" w:rsidR="00E66558" w:rsidRPr="00064366" w:rsidRDefault="009D71E8" w:rsidP="00064366">
      <w:pPr>
        <w:pStyle w:val="Heading1"/>
      </w:pPr>
      <w:r w:rsidRPr="00064366">
        <w:lastRenderedPageBreak/>
        <w:t>Part B: Review of the previous academic year</w:t>
      </w:r>
    </w:p>
    <w:p w14:paraId="751285B7" w14:textId="08A55EF0" w:rsidR="008B6404" w:rsidRDefault="00064366" w:rsidP="00173D4C">
      <w:pPr>
        <w:pStyle w:val="Heading2"/>
      </w:pPr>
      <w:r w:rsidRPr="00173D4C">
        <w:t>Outcomes for disadvantaged pupils</w:t>
      </w:r>
    </w:p>
    <w:p w14:paraId="4B37C32D" w14:textId="2355925A" w:rsidR="007F77E2" w:rsidRPr="007F77E2" w:rsidRDefault="007F77E2" w:rsidP="007F77E2">
      <w:r>
        <w:t xml:space="preserve">This details the impact that our pupil premium activity </w:t>
      </w:r>
      <w:r w:rsidR="0075308B">
        <w:t>had on pupils in the 2021 to 2022</w:t>
      </w:r>
      <w:r>
        <w:t xml:space="preserve"> academic year</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04672E">
        <w:trPr>
          <w:trHeight w:val="85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F8B1E" w14:textId="23FF7105" w:rsidR="00173D4C" w:rsidRPr="00200CAB" w:rsidRDefault="00EE32DE" w:rsidP="005333F3">
            <w:pPr>
              <w:rPr>
                <w:b/>
                <w:i/>
                <w:sz w:val="20"/>
                <w:szCs w:val="20"/>
              </w:rPr>
            </w:pPr>
            <w:r>
              <w:rPr>
                <w:b/>
                <w:i/>
                <w:sz w:val="20"/>
                <w:szCs w:val="20"/>
              </w:rPr>
              <w:t xml:space="preserve">Challenge </w:t>
            </w:r>
            <w:r w:rsidR="005333F3" w:rsidRPr="00200CAB">
              <w:rPr>
                <w:b/>
                <w:i/>
                <w:sz w:val="20"/>
                <w:szCs w:val="20"/>
              </w:rPr>
              <w:t>1 - Improved attainment for disadvantaged pupils in maths</w:t>
            </w:r>
          </w:p>
          <w:tbl>
            <w:tblPr>
              <w:tblStyle w:val="TableGrid"/>
              <w:tblW w:w="0" w:type="auto"/>
              <w:jc w:val="center"/>
              <w:tblLook w:val="04A0" w:firstRow="1" w:lastRow="0" w:firstColumn="1" w:lastColumn="0" w:noHBand="0" w:noVBand="1"/>
            </w:tblPr>
            <w:tblGrid>
              <w:gridCol w:w="2738"/>
              <w:gridCol w:w="2738"/>
              <w:gridCol w:w="2738"/>
            </w:tblGrid>
            <w:tr w:rsidR="005333F3" w14:paraId="156688B5" w14:textId="77777777" w:rsidTr="00A17E08">
              <w:trPr>
                <w:trHeight w:val="541"/>
                <w:jc w:val="center"/>
              </w:trPr>
              <w:tc>
                <w:tcPr>
                  <w:tcW w:w="2738" w:type="dxa"/>
                </w:tcPr>
                <w:p w14:paraId="211AEDC3" w14:textId="77777777" w:rsidR="005333F3" w:rsidRPr="00CF5B00" w:rsidRDefault="005333F3" w:rsidP="005333F3">
                  <w:pPr>
                    <w:jc w:val="center"/>
                    <w:rPr>
                      <w:b/>
                      <w:sz w:val="16"/>
                      <w:szCs w:val="16"/>
                    </w:rPr>
                  </w:pPr>
                </w:p>
              </w:tc>
              <w:tc>
                <w:tcPr>
                  <w:tcW w:w="2738" w:type="dxa"/>
                </w:tcPr>
                <w:p w14:paraId="3FE5D496" w14:textId="77777777" w:rsidR="005333F3" w:rsidRDefault="005333F3" w:rsidP="00EE32DE">
                  <w:pPr>
                    <w:spacing w:after="0"/>
                    <w:jc w:val="center"/>
                    <w:rPr>
                      <w:b/>
                      <w:sz w:val="16"/>
                      <w:szCs w:val="16"/>
                    </w:rPr>
                  </w:pPr>
                  <w:r w:rsidRPr="00CF5B00">
                    <w:rPr>
                      <w:b/>
                      <w:sz w:val="16"/>
                      <w:szCs w:val="16"/>
                    </w:rPr>
                    <w:t>All Pupils</w:t>
                  </w:r>
                </w:p>
                <w:p w14:paraId="212021F1" w14:textId="5DBB7E28" w:rsidR="00EE32DE" w:rsidRPr="00CF5B00" w:rsidRDefault="00EE32DE" w:rsidP="00EE32DE">
                  <w:pPr>
                    <w:spacing w:after="0"/>
                    <w:jc w:val="center"/>
                    <w:rPr>
                      <w:b/>
                      <w:sz w:val="16"/>
                      <w:szCs w:val="16"/>
                    </w:rPr>
                  </w:pPr>
                  <w:r>
                    <w:rPr>
                      <w:b/>
                      <w:sz w:val="16"/>
                      <w:szCs w:val="16"/>
                    </w:rPr>
                    <w:t>Summer 22</w:t>
                  </w:r>
                </w:p>
              </w:tc>
              <w:tc>
                <w:tcPr>
                  <w:tcW w:w="2738" w:type="dxa"/>
                </w:tcPr>
                <w:p w14:paraId="56F5F5F6" w14:textId="77777777" w:rsidR="005333F3" w:rsidRDefault="005333F3" w:rsidP="00EE32DE">
                  <w:pPr>
                    <w:spacing w:after="0"/>
                    <w:jc w:val="center"/>
                    <w:rPr>
                      <w:b/>
                      <w:sz w:val="16"/>
                      <w:szCs w:val="16"/>
                    </w:rPr>
                  </w:pPr>
                  <w:r w:rsidRPr="00CF5B00">
                    <w:rPr>
                      <w:b/>
                      <w:sz w:val="16"/>
                      <w:szCs w:val="16"/>
                    </w:rPr>
                    <w:t>PP</w:t>
                  </w:r>
                </w:p>
                <w:p w14:paraId="68C2D4B1" w14:textId="34FA1039" w:rsidR="00EE32DE" w:rsidRPr="00CF5B00" w:rsidRDefault="00EE32DE" w:rsidP="00EE32DE">
                  <w:pPr>
                    <w:spacing w:after="0"/>
                    <w:jc w:val="center"/>
                    <w:rPr>
                      <w:b/>
                      <w:sz w:val="16"/>
                      <w:szCs w:val="16"/>
                    </w:rPr>
                  </w:pPr>
                  <w:r>
                    <w:rPr>
                      <w:b/>
                      <w:sz w:val="16"/>
                      <w:szCs w:val="16"/>
                    </w:rPr>
                    <w:t>Summer 22</w:t>
                  </w:r>
                </w:p>
              </w:tc>
            </w:tr>
            <w:tr w:rsidR="00CF5B00" w14:paraId="1838EFDD" w14:textId="77777777" w:rsidTr="00A17E08">
              <w:trPr>
                <w:trHeight w:val="508"/>
                <w:jc w:val="center"/>
              </w:trPr>
              <w:tc>
                <w:tcPr>
                  <w:tcW w:w="2738" w:type="dxa"/>
                </w:tcPr>
                <w:p w14:paraId="1A9E1534" w14:textId="77777777" w:rsidR="00CF5B00" w:rsidRPr="00CF5B00" w:rsidRDefault="00CF5B00" w:rsidP="00CF5B00">
                  <w:pPr>
                    <w:spacing w:after="0"/>
                    <w:jc w:val="center"/>
                    <w:rPr>
                      <w:b/>
                      <w:sz w:val="16"/>
                      <w:szCs w:val="16"/>
                    </w:rPr>
                  </w:pPr>
                  <w:r w:rsidRPr="00CF5B00">
                    <w:rPr>
                      <w:b/>
                      <w:sz w:val="16"/>
                      <w:szCs w:val="16"/>
                    </w:rPr>
                    <w:t>Progress - Number</w:t>
                  </w:r>
                </w:p>
                <w:p w14:paraId="093A9868" w14:textId="3DA01D45" w:rsidR="00CF5B00" w:rsidRPr="00CF5B00" w:rsidRDefault="00CF5B00" w:rsidP="00CF5B00">
                  <w:pPr>
                    <w:spacing w:after="0"/>
                    <w:jc w:val="center"/>
                    <w:rPr>
                      <w:b/>
                      <w:sz w:val="16"/>
                      <w:szCs w:val="16"/>
                    </w:rPr>
                  </w:pPr>
                  <w:r w:rsidRPr="00CF5B00">
                    <w:rPr>
                      <w:sz w:val="16"/>
                      <w:szCs w:val="16"/>
                    </w:rPr>
                    <w:t>(Formal curriculum pathway)</w:t>
                  </w:r>
                </w:p>
              </w:tc>
              <w:tc>
                <w:tcPr>
                  <w:tcW w:w="2738" w:type="dxa"/>
                </w:tcPr>
                <w:p w14:paraId="428FAE71" w14:textId="63CF3D99" w:rsidR="00CF5B00" w:rsidRPr="00CF5B00" w:rsidRDefault="00CF5B00" w:rsidP="00CF5B00">
                  <w:pPr>
                    <w:spacing w:after="0"/>
                    <w:jc w:val="center"/>
                    <w:rPr>
                      <w:sz w:val="16"/>
                      <w:szCs w:val="16"/>
                    </w:rPr>
                  </w:pPr>
                  <w:r w:rsidRPr="00CF5B00">
                    <w:rPr>
                      <w:sz w:val="16"/>
                      <w:szCs w:val="16"/>
                    </w:rPr>
                    <w:t>20% - Above expected progress</w:t>
                  </w:r>
                </w:p>
                <w:p w14:paraId="27F59198" w14:textId="61308D85" w:rsidR="00CF5B00" w:rsidRPr="00CF5B00" w:rsidRDefault="00CF5B00" w:rsidP="00A17E08">
                  <w:pPr>
                    <w:spacing w:after="0"/>
                    <w:jc w:val="center"/>
                    <w:rPr>
                      <w:sz w:val="16"/>
                      <w:szCs w:val="16"/>
                    </w:rPr>
                  </w:pPr>
                  <w:r w:rsidRPr="00CF5B00">
                    <w:rPr>
                      <w:sz w:val="16"/>
                      <w:szCs w:val="16"/>
                    </w:rPr>
                    <w:t>53% - Expected progress</w:t>
                  </w:r>
                </w:p>
              </w:tc>
              <w:tc>
                <w:tcPr>
                  <w:tcW w:w="2738" w:type="dxa"/>
                </w:tcPr>
                <w:p w14:paraId="0DD52E1D" w14:textId="77777777" w:rsidR="00CF5B00" w:rsidRPr="00CF5B00" w:rsidRDefault="00CF5B00" w:rsidP="00CF5B00">
                  <w:pPr>
                    <w:spacing w:after="0"/>
                    <w:jc w:val="center"/>
                    <w:rPr>
                      <w:sz w:val="16"/>
                      <w:szCs w:val="16"/>
                    </w:rPr>
                  </w:pPr>
                  <w:r w:rsidRPr="00CF5B00">
                    <w:rPr>
                      <w:sz w:val="16"/>
                      <w:szCs w:val="16"/>
                    </w:rPr>
                    <w:t>37% - Above expected progress</w:t>
                  </w:r>
                </w:p>
                <w:p w14:paraId="4656B5A6" w14:textId="77777777" w:rsidR="00CF5B00" w:rsidRPr="00CF5B00" w:rsidRDefault="00CF5B00" w:rsidP="00CF5B00">
                  <w:pPr>
                    <w:spacing w:after="0"/>
                    <w:jc w:val="center"/>
                    <w:rPr>
                      <w:sz w:val="16"/>
                      <w:szCs w:val="16"/>
                    </w:rPr>
                  </w:pPr>
                  <w:r w:rsidRPr="00CF5B00">
                    <w:rPr>
                      <w:sz w:val="16"/>
                      <w:szCs w:val="16"/>
                    </w:rPr>
                    <w:t>50% - Expected progress</w:t>
                  </w:r>
                </w:p>
                <w:p w14:paraId="12DF3675" w14:textId="1C731FA5" w:rsidR="00CF5B00" w:rsidRPr="00CF5B00" w:rsidRDefault="00CF5B00" w:rsidP="00CF5B00">
                  <w:pPr>
                    <w:spacing w:after="0"/>
                    <w:jc w:val="center"/>
                    <w:rPr>
                      <w:sz w:val="16"/>
                      <w:szCs w:val="16"/>
                    </w:rPr>
                  </w:pPr>
                </w:p>
              </w:tc>
            </w:tr>
            <w:tr w:rsidR="00CF5B00" w14:paraId="5E2C6187" w14:textId="77777777" w:rsidTr="00A17E08">
              <w:trPr>
                <w:trHeight w:val="459"/>
                <w:jc w:val="center"/>
              </w:trPr>
              <w:tc>
                <w:tcPr>
                  <w:tcW w:w="2738" w:type="dxa"/>
                </w:tcPr>
                <w:p w14:paraId="36B6C172" w14:textId="77777777" w:rsidR="00CF5B00" w:rsidRPr="00CF5B00" w:rsidRDefault="00CF5B00" w:rsidP="00CF5B00">
                  <w:pPr>
                    <w:spacing w:after="0"/>
                    <w:jc w:val="center"/>
                    <w:rPr>
                      <w:b/>
                      <w:sz w:val="16"/>
                      <w:szCs w:val="16"/>
                    </w:rPr>
                  </w:pPr>
                  <w:r w:rsidRPr="00CF5B00">
                    <w:rPr>
                      <w:b/>
                      <w:sz w:val="16"/>
                      <w:szCs w:val="16"/>
                    </w:rPr>
                    <w:t>Progress - Number</w:t>
                  </w:r>
                </w:p>
                <w:p w14:paraId="30D14BDB" w14:textId="7E8C932E" w:rsidR="00CF5B00" w:rsidRPr="00CF5B00" w:rsidRDefault="00CF5B00" w:rsidP="00CF5B00">
                  <w:pPr>
                    <w:spacing w:after="0"/>
                    <w:jc w:val="center"/>
                    <w:rPr>
                      <w:sz w:val="16"/>
                      <w:szCs w:val="16"/>
                    </w:rPr>
                  </w:pPr>
                  <w:r w:rsidRPr="00CF5B00">
                    <w:rPr>
                      <w:sz w:val="16"/>
                      <w:szCs w:val="16"/>
                    </w:rPr>
                    <w:t>(Semi-Formal curriculum pathway)</w:t>
                  </w:r>
                </w:p>
              </w:tc>
              <w:tc>
                <w:tcPr>
                  <w:tcW w:w="2738" w:type="dxa"/>
                </w:tcPr>
                <w:p w14:paraId="47E6089A" w14:textId="6DCB06E5" w:rsidR="00CF5B00" w:rsidRPr="00CF5B00" w:rsidRDefault="00CF5B00" w:rsidP="00CF5B00">
                  <w:pPr>
                    <w:spacing w:after="0"/>
                    <w:jc w:val="center"/>
                    <w:rPr>
                      <w:sz w:val="16"/>
                      <w:szCs w:val="16"/>
                    </w:rPr>
                  </w:pPr>
                  <w:r w:rsidRPr="00CF5B00">
                    <w:rPr>
                      <w:sz w:val="16"/>
                      <w:szCs w:val="16"/>
                    </w:rPr>
                    <w:t>31% Above expected progress</w:t>
                  </w:r>
                </w:p>
                <w:p w14:paraId="6D0DB341" w14:textId="77777777" w:rsidR="00CF5B00" w:rsidRPr="00CF5B00" w:rsidRDefault="00CF5B00" w:rsidP="00CF5B00">
                  <w:pPr>
                    <w:spacing w:after="0"/>
                    <w:jc w:val="center"/>
                    <w:rPr>
                      <w:sz w:val="16"/>
                      <w:szCs w:val="16"/>
                    </w:rPr>
                  </w:pPr>
                  <w:r w:rsidRPr="00CF5B00">
                    <w:rPr>
                      <w:sz w:val="16"/>
                      <w:szCs w:val="16"/>
                    </w:rPr>
                    <w:t>34% Expected progress</w:t>
                  </w:r>
                </w:p>
                <w:p w14:paraId="6857D830" w14:textId="18A1940D" w:rsidR="00CF5B00" w:rsidRPr="00CF5B00" w:rsidRDefault="00CF5B00" w:rsidP="00CF5B00">
                  <w:pPr>
                    <w:spacing w:after="0"/>
                    <w:jc w:val="center"/>
                    <w:rPr>
                      <w:sz w:val="16"/>
                      <w:szCs w:val="16"/>
                    </w:rPr>
                  </w:pPr>
                </w:p>
              </w:tc>
              <w:tc>
                <w:tcPr>
                  <w:tcW w:w="2738" w:type="dxa"/>
                </w:tcPr>
                <w:p w14:paraId="3382705C" w14:textId="6C4B2853" w:rsidR="00CF5B00" w:rsidRPr="00CF5B00" w:rsidRDefault="00CF5B00" w:rsidP="00CF5B00">
                  <w:pPr>
                    <w:spacing w:after="0"/>
                    <w:jc w:val="center"/>
                    <w:rPr>
                      <w:sz w:val="16"/>
                      <w:szCs w:val="16"/>
                    </w:rPr>
                  </w:pPr>
                  <w:r w:rsidRPr="00CF5B00">
                    <w:rPr>
                      <w:sz w:val="16"/>
                      <w:szCs w:val="16"/>
                    </w:rPr>
                    <w:t>36% Above expected progress</w:t>
                  </w:r>
                </w:p>
                <w:p w14:paraId="05F958AE" w14:textId="3970B2A7" w:rsidR="00CF5B00" w:rsidRPr="00CF5B00" w:rsidRDefault="00CF5B00" w:rsidP="00CF5B00">
                  <w:pPr>
                    <w:spacing w:after="0"/>
                    <w:jc w:val="center"/>
                    <w:rPr>
                      <w:sz w:val="16"/>
                      <w:szCs w:val="16"/>
                    </w:rPr>
                  </w:pPr>
                  <w:r w:rsidRPr="00CF5B00">
                    <w:rPr>
                      <w:sz w:val="16"/>
                      <w:szCs w:val="16"/>
                    </w:rPr>
                    <w:t>29% Expected progress</w:t>
                  </w:r>
                </w:p>
                <w:p w14:paraId="0D0D9C28" w14:textId="0420A138" w:rsidR="00CF5B00" w:rsidRPr="00CF5B00" w:rsidRDefault="00CF5B00" w:rsidP="00CF5B00">
                  <w:pPr>
                    <w:spacing w:after="0"/>
                    <w:jc w:val="center"/>
                    <w:rPr>
                      <w:sz w:val="16"/>
                      <w:szCs w:val="16"/>
                    </w:rPr>
                  </w:pPr>
                </w:p>
              </w:tc>
            </w:tr>
            <w:tr w:rsidR="00CF5B00" w14:paraId="64511828" w14:textId="77777777" w:rsidTr="00A17E08">
              <w:trPr>
                <w:trHeight w:val="269"/>
                <w:jc w:val="center"/>
              </w:trPr>
              <w:tc>
                <w:tcPr>
                  <w:tcW w:w="2738" w:type="dxa"/>
                </w:tcPr>
                <w:p w14:paraId="050572B0" w14:textId="77777777" w:rsidR="00CF5B00" w:rsidRPr="00CF5B00" w:rsidRDefault="00CF5B00" w:rsidP="00CF5B00">
                  <w:pPr>
                    <w:spacing w:after="0"/>
                    <w:jc w:val="center"/>
                    <w:rPr>
                      <w:b/>
                      <w:sz w:val="16"/>
                      <w:szCs w:val="16"/>
                    </w:rPr>
                  </w:pPr>
                  <w:r w:rsidRPr="00CF5B00">
                    <w:rPr>
                      <w:b/>
                      <w:sz w:val="16"/>
                      <w:szCs w:val="16"/>
                    </w:rPr>
                    <w:t>EHCP Outcomes Maths</w:t>
                  </w:r>
                </w:p>
                <w:p w14:paraId="19974BA4" w14:textId="5A0110C8" w:rsidR="00CF5B00" w:rsidRPr="00CF5B00" w:rsidRDefault="00CF5B00" w:rsidP="00CF5B00">
                  <w:pPr>
                    <w:spacing w:after="0"/>
                    <w:jc w:val="center"/>
                    <w:rPr>
                      <w:sz w:val="16"/>
                      <w:szCs w:val="16"/>
                    </w:rPr>
                  </w:pPr>
                  <w:r w:rsidRPr="00CF5B00">
                    <w:rPr>
                      <w:sz w:val="16"/>
                      <w:szCs w:val="16"/>
                    </w:rPr>
                    <w:t>(Semi-formal and Formal curriculum pathways)</w:t>
                  </w:r>
                </w:p>
              </w:tc>
              <w:tc>
                <w:tcPr>
                  <w:tcW w:w="2738" w:type="dxa"/>
                </w:tcPr>
                <w:p w14:paraId="3CCD4E03" w14:textId="75066F02" w:rsidR="00CF5B00" w:rsidRPr="00CF5B00" w:rsidRDefault="00CF5B00" w:rsidP="00CF5B00">
                  <w:pPr>
                    <w:spacing w:after="0"/>
                    <w:jc w:val="center"/>
                    <w:rPr>
                      <w:sz w:val="16"/>
                      <w:szCs w:val="16"/>
                    </w:rPr>
                  </w:pPr>
                  <w:r w:rsidRPr="00CF5B00">
                    <w:rPr>
                      <w:sz w:val="16"/>
                      <w:szCs w:val="16"/>
                    </w:rPr>
                    <w:t>53% Fully achieved</w:t>
                  </w:r>
                </w:p>
                <w:p w14:paraId="37021AE4" w14:textId="56A50D9A" w:rsidR="00CF5B00" w:rsidRPr="00CF5B00" w:rsidRDefault="00CF5B00" w:rsidP="00CF5B00">
                  <w:pPr>
                    <w:spacing w:after="0"/>
                    <w:jc w:val="center"/>
                    <w:rPr>
                      <w:sz w:val="16"/>
                      <w:szCs w:val="16"/>
                    </w:rPr>
                  </w:pPr>
                  <w:r w:rsidRPr="00CF5B00">
                    <w:rPr>
                      <w:sz w:val="16"/>
                      <w:szCs w:val="16"/>
                    </w:rPr>
                    <w:t>17% Partially achieved</w:t>
                  </w:r>
                </w:p>
                <w:p w14:paraId="5C3D9BC8" w14:textId="64E172BD" w:rsidR="00CF5B00" w:rsidRPr="00CF5B00" w:rsidRDefault="00CF5B00" w:rsidP="00CF5B00">
                  <w:pPr>
                    <w:spacing w:after="0"/>
                    <w:jc w:val="center"/>
                    <w:rPr>
                      <w:sz w:val="16"/>
                      <w:szCs w:val="16"/>
                    </w:rPr>
                  </w:pPr>
                </w:p>
              </w:tc>
              <w:tc>
                <w:tcPr>
                  <w:tcW w:w="2738" w:type="dxa"/>
                </w:tcPr>
                <w:p w14:paraId="7D2DD8BE" w14:textId="03A0C93B" w:rsidR="00CF5B00" w:rsidRPr="00CF5B00" w:rsidRDefault="00CF5B00" w:rsidP="00CF5B00">
                  <w:pPr>
                    <w:spacing w:after="0"/>
                    <w:jc w:val="center"/>
                    <w:rPr>
                      <w:sz w:val="16"/>
                      <w:szCs w:val="16"/>
                    </w:rPr>
                  </w:pPr>
                  <w:r w:rsidRPr="00CF5B00">
                    <w:rPr>
                      <w:sz w:val="16"/>
                      <w:szCs w:val="16"/>
                    </w:rPr>
                    <w:t>56% Fully achieved</w:t>
                  </w:r>
                </w:p>
                <w:p w14:paraId="30319240" w14:textId="0E557779" w:rsidR="00CF5B00" w:rsidRPr="00CF5B00" w:rsidRDefault="00CF5B00" w:rsidP="00CF5B00">
                  <w:pPr>
                    <w:spacing w:after="0"/>
                    <w:jc w:val="center"/>
                    <w:rPr>
                      <w:sz w:val="16"/>
                      <w:szCs w:val="16"/>
                    </w:rPr>
                  </w:pPr>
                  <w:r w:rsidRPr="00CF5B00">
                    <w:rPr>
                      <w:sz w:val="16"/>
                      <w:szCs w:val="16"/>
                    </w:rPr>
                    <w:t>21% Partially achieved</w:t>
                  </w:r>
                </w:p>
                <w:p w14:paraId="428E3341" w14:textId="7AC6E29E" w:rsidR="00CF5B00" w:rsidRPr="00CF5B00" w:rsidRDefault="00CF5B00" w:rsidP="00CF5B00">
                  <w:pPr>
                    <w:spacing w:after="0"/>
                    <w:jc w:val="center"/>
                    <w:rPr>
                      <w:sz w:val="16"/>
                      <w:szCs w:val="16"/>
                    </w:rPr>
                  </w:pPr>
                </w:p>
              </w:tc>
            </w:tr>
          </w:tbl>
          <w:p w14:paraId="1236AB0D" w14:textId="23D2C6A7" w:rsidR="005333F3" w:rsidRDefault="00A17E08" w:rsidP="005333F3">
            <w:pPr>
              <w:rPr>
                <w:sz w:val="20"/>
                <w:szCs w:val="20"/>
              </w:rPr>
            </w:pPr>
            <w:r w:rsidRPr="00A17E08">
              <w:rPr>
                <w:sz w:val="20"/>
                <w:szCs w:val="20"/>
              </w:rPr>
              <w:t>Pupil</w:t>
            </w:r>
            <w:r>
              <w:rPr>
                <w:sz w:val="20"/>
                <w:szCs w:val="20"/>
              </w:rPr>
              <w:t xml:space="preserve"> premium pupils</w:t>
            </w:r>
            <w:r w:rsidR="00461237">
              <w:rPr>
                <w:sz w:val="20"/>
                <w:szCs w:val="20"/>
              </w:rPr>
              <w:t xml:space="preserve"> compare favourably with all pupils, but mathematics remains an area of focus for improved attainment.</w:t>
            </w:r>
          </w:p>
          <w:p w14:paraId="681BC656" w14:textId="3B719540" w:rsidR="00EE32DE" w:rsidRDefault="00EE32DE" w:rsidP="005333F3">
            <w:pPr>
              <w:rPr>
                <w:b/>
                <w:i/>
                <w:sz w:val="20"/>
                <w:szCs w:val="20"/>
              </w:rPr>
            </w:pPr>
            <w:r w:rsidRPr="00EE32DE">
              <w:rPr>
                <w:b/>
                <w:i/>
                <w:sz w:val="20"/>
                <w:szCs w:val="20"/>
              </w:rPr>
              <w:t>Challenge 2 - Improved attendance for disadvantaged pupils with complex medical conditions.</w:t>
            </w:r>
          </w:p>
          <w:tbl>
            <w:tblPr>
              <w:tblpPr w:leftFromText="180" w:rightFromText="180" w:vertAnchor="text" w:horzAnchor="margin" w:tblpXSpec="center"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45"/>
              <w:gridCol w:w="1796"/>
              <w:gridCol w:w="1796"/>
              <w:gridCol w:w="1796"/>
            </w:tblGrid>
            <w:tr w:rsidR="00337500" w:rsidRPr="00BF0A14" w14:paraId="323DBF20" w14:textId="77777777" w:rsidTr="00830676">
              <w:trPr>
                <w:trHeight w:val="488"/>
              </w:trPr>
              <w:tc>
                <w:tcPr>
                  <w:tcW w:w="7133" w:type="dxa"/>
                  <w:gridSpan w:val="4"/>
                  <w:tcBorders>
                    <w:top w:val="single" w:sz="4" w:space="0" w:color="000000"/>
                    <w:left w:val="single" w:sz="4" w:space="0" w:color="000000"/>
                    <w:right w:val="single" w:sz="4" w:space="0" w:color="000000"/>
                  </w:tcBorders>
                </w:tcPr>
                <w:p w14:paraId="13370608" w14:textId="22C58B36" w:rsidR="00337500" w:rsidRPr="008E5573" w:rsidRDefault="00337500" w:rsidP="00426917">
                  <w:pPr>
                    <w:pStyle w:val="BodyText"/>
                    <w:spacing w:after="0"/>
                    <w:jc w:val="center"/>
                    <w:rPr>
                      <w:rFonts w:asciiTheme="minorHAnsi" w:hAnsiTheme="minorHAnsi" w:cstheme="minorHAnsi"/>
                      <w:b/>
                      <w:sz w:val="20"/>
                      <w:szCs w:val="20"/>
                    </w:rPr>
                  </w:pPr>
                  <w:r>
                    <w:rPr>
                      <w:rFonts w:asciiTheme="minorHAnsi" w:hAnsiTheme="minorHAnsi" w:cstheme="minorHAnsi"/>
                      <w:b/>
                      <w:sz w:val="20"/>
                      <w:szCs w:val="20"/>
                    </w:rPr>
                    <w:t>A</w:t>
                  </w:r>
                  <w:r w:rsidRPr="008E5573">
                    <w:rPr>
                      <w:rFonts w:asciiTheme="minorHAnsi" w:hAnsiTheme="minorHAnsi" w:cstheme="minorHAnsi"/>
                      <w:b/>
                      <w:sz w:val="20"/>
                      <w:szCs w:val="20"/>
                    </w:rPr>
                    <w:t>ttendance 2021-2022</w:t>
                  </w:r>
                </w:p>
                <w:p w14:paraId="40EF2A7C" w14:textId="21C87518" w:rsidR="00337500" w:rsidRPr="00426917" w:rsidRDefault="00337500" w:rsidP="00426917">
                  <w:pPr>
                    <w:pStyle w:val="BodyText"/>
                    <w:spacing w:after="0"/>
                    <w:jc w:val="center"/>
                    <w:rPr>
                      <w:rFonts w:asciiTheme="minorHAnsi" w:hAnsiTheme="minorHAnsi" w:cstheme="minorHAnsi"/>
                      <w:b/>
                      <w:sz w:val="16"/>
                      <w:szCs w:val="16"/>
                    </w:rPr>
                  </w:pPr>
                </w:p>
              </w:tc>
            </w:tr>
            <w:tr w:rsidR="00337500" w:rsidRPr="00BF0A14" w14:paraId="381CE522" w14:textId="77777777" w:rsidTr="00830676">
              <w:trPr>
                <w:trHeight w:val="98"/>
              </w:trPr>
              <w:tc>
                <w:tcPr>
                  <w:tcW w:w="1745" w:type="dxa"/>
                  <w:tcBorders>
                    <w:left w:val="single" w:sz="4" w:space="0" w:color="000000"/>
                  </w:tcBorders>
                </w:tcPr>
                <w:p w14:paraId="05D9ED92" w14:textId="77777777" w:rsidR="00337500" w:rsidRPr="008E5573" w:rsidRDefault="00337500" w:rsidP="00426917">
                  <w:pPr>
                    <w:pStyle w:val="BodyText"/>
                    <w:jc w:val="center"/>
                    <w:rPr>
                      <w:rFonts w:asciiTheme="minorHAnsi" w:hAnsiTheme="minorHAnsi" w:cstheme="minorHAnsi"/>
                      <w:sz w:val="20"/>
                      <w:szCs w:val="20"/>
                    </w:rPr>
                  </w:pPr>
                </w:p>
              </w:tc>
              <w:tc>
                <w:tcPr>
                  <w:tcW w:w="1796" w:type="dxa"/>
                </w:tcPr>
                <w:p w14:paraId="45EB6F52" w14:textId="0CE4A1CF" w:rsidR="00337500" w:rsidRPr="00426917" w:rsidRDefault="00830676" w:rsidP="00426917">
                  <w:pPr>
                    <w:pStyle w:val="BodyText"/>
                    <w:jc w:val="center"/>
                    <w:rPr>
                      <w:rFonts w:asciiTheme="minorHAnsi" w:hAnsiTheme="minorHAnsi" w:cstheme="minorHAnsi"/>
                      <w:b/>
                      <w:sz w:val="14"/>
                      <w:szCs w:val="14"/>
                    </w:rPr>
                  </w:pPr>
                  <w:r>
                    <w:rPr>
                      <w:rFonts w:asciiTheme="minorHAnsi" w:hAnsiTheme="minorHAnsi" w:cstheme="minorHAnsi"/>
                      <w:b/>
                      <w:sz w:val="14"/>
                      <w:szCs w:val="14"/>
                    </w:rPr>
                    <w:t>20</w:t>
                  </w:r>
                  <w:r w:rsidR="00337500">
                    <w:rPr>
                      <w:rFonts w:asciiTheme="minorHAnsi" w:hAnsiTheme="minorHAnsi" w:cstheme="minorHAnsi"/>
                      <w:b/>
                      <w:sz w:val="14"/>
                      <w:szCs w:val="14"/>
                    </w:rPr>
                    <w:t>20</w:t>
                  </w:r>
                  <w:r>
                    <w:rPr>
                      <w:rFonts w:asciiTheme="minorHAnsi" w:hAnsiTheme="minorHAnsi" w:cstheme="minorHAnsi"/>
                      <w:b/>
                      <w:sz w:val="14"/>
                      <w:szCs w:val="14"/>
                    </w:rPr>
                    <w:t>-21</w:t>
                  </w:r>
                </w:p>
              </w:tc>
              <w:tc>
                <w:tcPr>
                  <w:tcW w:w="1796" w:type="dxa"/>
                  <w:tcBorders>
                    <w:right w:val="single" w:sz="4" w:space="0" w:color="000000"/>
                  </w:tcBorders>
                </w:tcPr>
                <w:p w14:paraId="147B9D55" w14:textId="59718681" w:rsidR="00337500" w:rsidRPr="00426917" w:rsidRDefault="006C566E" w:rsidP="00426917">
                  <w:pPr>
                    <w:pStyle w:val="BodyText"/>
                    <w:jc w:val="center"/>
                    <w:rPr>
                      <w:rFonts w:asciiTheme="minorHAnsi" w:hAnsiTheme="minorHAnsi" w:cstheme="minorHAnsi"/>
                      <w:b/>
                      <w:sz w:val="14"/>
                      <w:szCs w:val="14"/>
                    </w:rPr>
                  </w:pPr>
                  <w:r>
                    <w:rPr>
                      <w:rFonts w:asciiTheme="minorHAnsi" w:hAnsiTheme="minorHAnsi" w:cstheme="minorHAnsi"/>
                      <w:b/>
                      <w:sz w:val="14"/>
                      <w:szCs w:val="14"/>
                    </w:rPr>
                    <w:t>20</w:t>
                  </w:r>
                  <w:r w:rsidR="00337500" w:rsidRPr="00426917">
                    <w:rPr>
                      <w:rFonts w:asciiTheme="minorHAnsi" w:hAnsiTheme="minorHAnsi" w:cstheme="minorHAnsi"/>
                      <w:b/>
                      <w:sz w:val="14"/>
                      <w:szCs w:val="14"/>
                    </w:rPr>
                    <w:t>21</w:t>
                  </w:r>
                  <w:r>
                    <w:rPr>
                      <w:rFonts w:asciiTheme="minorHAnsi" w:hAnsiTheme="minorHAnsi" w:cstheme="minorHAnsi"/>
                      <w:b/>
                      <w:sz w:val="14"/>
                      <w:szCs w:val="14"/>
                    </w:rPr>
                    <w:t>-22</w:t>
                  </w:r>
                </w:p>
              </w:tc>
              <w:tc>
                <w:tcPr>
                  <w:tcW w:w="1796" w:type="dxa"/>
                  <w:tcBorders>
                    <w:left w:val="single" w:sz="4" w:space="0" w:color="000000"/>
                    <w:right w:val="single" w:sz="4" w:space="0" w:color="000000"/>
                  </w:tcBorders>
                </w:tcPr>
                <w:p w14:paraId="654F8E8F" w14:textId="77777777" w:rsidR="00337500" w:rsidRPr="00426917" w:rsidRDefault="00337500" w:rsidP="00426917">
                  <w:pPr>
                    <w:pStyle w:val="BodyText"/>
                    <w:jc w:val="center"/>
                    <w:rPr>
                      <w:rFonts w:asciiTheme="minorHAnsi" w:hAnsiTheme="minorHAnsi" w:cstheme="minorHAnsi"/>
                      <w:b/>
                      <w:sz w:val="14"/>
                      <w:szCs w:val="14"/>
                    </w:rPr>
                  </w:pPr>
                  <w:r w:rsidRPr="00426917">
                    <w:rPr>
                      <w:rFonts w:asciiTheme="minorHAnsi" w:hAnsiTheme="minorHAnsi" w:cstheme="minorHAnsi"/>
                      <w:b/>
                      <w:sz w:val="14"/>
                      <w:szCs w:val="14"/>
                    </w:rPr>
                    <w:t>Autumn term 22</w:t>
                  </w:r>
                </w:p>
              </w:tc>
            </w:tr>
            <w:tr w:rsidR="00337500" w:rsidRPr="00BF0A14" w14:paraId="24F418C7" w14:textId="77777777" w:rsidTr="00830676">
              <w:trPr>
                <w:trHeight w:val="98"/>
              </w:trPr>
              <w:tc>
                <w:tcPr>
                  <w:tcW w:w="1745" w:type="dxa"/>
                  <w:tcBorders>
                    <w:left w:val="single" w:sz="4" w:space="0" w:color="000000"/>
                  </w:tcBorders>
                </w:tcPr>
                <w:p w14:paraId="478F1361" w14:textId="77777777" w:rsidR="00337500" w:rsidRPr="008E5573" w:rsidRDefault="00337500" w:rsidP="00426917">
                  <w:pPr>
                    <w:pStyle w:val="BodyText"/>
                    <w:jc w:val="center"/>
                    <w:rPr>
                      <w:rFonts w:asciiTheme="minorHAnsi" w:hAnsiTheme="minorHAnsi" w:cstheme="minorHAnsi"/>
                      <w:sz w:val="20"/>
                      <w:szCs w:val="20"/>
                    </w:rPr>
                  </w:pPr>
                  <w:r w:rsidRPr="008E5573">
                    <w:rPr>
                      <w:rFonts w:asciiTheme="minorHAnsi" w:hAnsiTheme="minorHAnsi" w:cstheme="minorHAnsi"/>
                      <w:sz w:val="20"/>
                      <w:szCs w:val="20"/>
                    </w:rPr>
                    <w:t>Nursery</w:t>
                  </w:r>
                </w:p>
              </w:tc>
              <w:tc>
                <w:tcPr>
                  <w:tcW w:w="1796" w:type="dxa"/>
                </w:tcPr>
                <w:p w14:paraId="38A454E0" w14:textId="1F475548" w:rsidR="00337500" w:rsidRPr="008E5573" w:rsidRDefault="00830676" w:rsidP="00426917">
                  <w:pPr>
                    <w:pStyle w:val="BodyText"/>
                    <w:jc w:val="center"/>
                    <w:rPr>
                      <w:rFonts w:asciiTheme="minorHAnsi" w:hAnsiTheme="minorHAnsi" w:cstheme="minorHAnsi"/>
                      <w:sz w:val="20"/>
                      <w:szCs w:val="20"/>
                    </w:rPr>
                  </w:pPr>
                  <w:r>
                    <w:rPr>
                      <w:rFonts w:asciiTheme="minorHAnsi" w:hAnsiTheme="minorHAnsi" w:cstheme="minorHAnsi"/>
                      <w:sz w:val="20"/>
                      <w:szCs w:val="20"/>
                    </w:rPr>
                    <w:t>76%</w:t>
                  </w:r>
                </w:p>
              </w:tc>
              <w:tc>
                <w:tcPr>
                  <w:tcW w:w="1796" w:type="dxa"/>
                  <w:tcBorders>
                    <w:right w:val="single" w:sz="4" w:space="0" w:color="000000"/>
                  </w:tcBorders>
                </w:tcPr>
                <w:p w14:paraId="56E75BC2" w14:textId="155085BA" w:rsidR="00337500" w:rsidRPr="008E5573" w:rsidRDefault="006C566E" w:rsidP="006C566E">
                  <w:pPr>
                    <w:pStyle w:val="BodyText"/>
                    <w:jc w:val="center"/>
                    <w:rPr>
                      <w:rFonts w:asciiTheme="minorHAnsi" w:hAnsiTheme="minorHAnsi" w:cstheme="minorHAnsi"/>
                      <w:sz w:val="20"/>
                      <w:szCs w:val="20"/>
                    </w:rPr>
                  </w:pPr>
                  <w:r>
                    <w:rPr>
                      <w:rFonts w:asciiTheme="minorHAnsi" w:hAnsiTheme="minorHAnsi" w:cstheme="minorHAnsi"/>
                      <w:sz w:val="20"/>
                      <w:szCs w:val="20"/>
                    </w:rPr>
                    <w:t>72</w:t>
                  </w:r>
                  <w:r w:rsidR="00337500" w:rsidRPr="008E5573">
                    <w:rPr>
                      <w:rFonts w:asciiTheme="minorHAnsi" w:hAnsiTheme="minorHAnsi" w:cstheme="minorHAnsi"/>
                      <w:sz w:val="20"/>
                      <w:szCs w:val="20"/>
                    </w:rPr>
                    <w:t>%</w:t>
                  </w:r>
                </w:p>
              </w:tc>
              <w:tc>
                <w:tcPr>
                  <w:tcW w:w="1796" w:type="dxa"/>
                  <w:tcBorders>
                    <w:left w:val="single" w:sz="4" w:space="0" w:color="000000"/>
                    <w:right w:val="single" w:sz="4" w:space="0" w:color="000000"/>
                  </w:tcBorders>
                </w:tcPr>
                <w:p w14:paraId="04B8146C" w14:textId="6535FBEE" w:rsidR="00337500" w:rsidRPr="008E5573" w:rsidRDefault="00337500" w:rsidP="00426917">
                  <w:pPr>
                    <w:pStyle w:val="BodyText"/>
                    <w:jc w:val="center"/>
                    <w:rPr>
                      <w:rFonts w:asciiTheme="minorHAnsi" w:hAnsiTheme="minorHAnsi" w:cstheme="minorHAnsi"/>
                      <w:sz w:val="20"/>
                      <w:szCs w:val="20"/>
                    </w:rPr>
                  </w:pPr>
                  <w:r>
                    <w:rPr>
                      <w:rFonts w:asciiTheme="minorHAnsi" w:hAnsiTheme="minorHAnsi" w:cstheme="minorHAnsi"/>
                      <w:sz w:val="20"/>
                      <w:szCs w:val="20"/>
                    </w:rPr>
                    <w:t>7</w:t>
                  </w:r>
                  <w:r w:rsidR="00C13914">
                    <w:rPr>
                      <w:rFonts w:asciiTheme="minorHAnsi" w:hAnsiTheme="minorHAnsi" w:cstheme="minorHAnsi"/>
                      <w:sz w:val="20"/>
                      <w:szCs w:val="20"/>
                    </w:rPr>
                    <w:t>7</w:t>
                  </w:r>
                  <w:r w:rsidRPr="008E5573">
                    <w:rPr>
                      <w:rFonts w:asciiTheme="minorHAnsi" w:hAnsiTheme="minorHAnsi" w:cstheme="minorHAnsi"/>
                      <w:sz w:val="20"/>
                      <w:szCs w:val="20"/>
                    </w:rPr>
                    <w:t>%</w:t>
                  </w:r>
                </w:p>
              </w:tc>
            </w:tr>
            <w:tr w:rsidR="00337500" w:rsidRPr="00BF0A14" w14:paraId="781EA8A6" w14:textId="77777777" w:rsidTr="00830676">
              <w:trPr>
                <w:trHeight w:val="71"/>
              </w:trPr>
              <w:tc>
                <w:tcPr>
                  <w:tcW w:w="1745" w:type="dxa"/>
                  <w:tcBorders>
                    <w:left w:val="single" w:sz="4" w:space="0" w:color="000000"/>
                  </w:tcBorders>
                </w:tcPr>
                <w:p w14:paraId="43673DD8" w14:textId="77777777" w:rsidR="00337500" w:rsidRPr="008E5573" w:rsidRDefault="00337500" w:rsidP="00426917">
                  <w:pPr>
                    <w:jc w:val="center"/>
                    <w:rPr>
                      <w:rFonts w:asciiTheme="minorHAnsi" w:hAnsiTheme="minorHAnsi" w:cstheme="minorHAnsi"/>
                      <w:sz w:val="20"/>
                      <w:szCs w:val="20"/>
                    </w:rPr>
                  </w:pPr>
                  <w:r w:rsidRPr="008E5573">
                    <w:rPr>
                      <w:rFonts w:asciiTheme="minorHAnsi" w:hAnsiTheme="minorHAnsi" w:cstheme="minorHAnsi"/>
                      <w:sz w:val="20"/>
                      <w:szCs w:val="20"/>
                    </w:rPr>
                    <w:t>Lower School</w:t>
                  </w:r>
                </w:p>
              </w:tc>
              <w:tc>
                <w:tcPr>
                  <w:tcW w:w="1796" w:type="dxa"/>
                </w:tcPr>
                <w:p w14:paraId="51FB4F66" w14:textId="753F2771" w:rsidR="00337500" w:rsidRPr="008E5573" w:rsidRDefault="00830676" w:rsidP="00426917">
                  <w:pPr>
                    <w:pStyle w:val="BodyText"/>
                    <w:jc w:val="center"/>
                    <w:rPr>
                      <w:rFonts w:asciiTheme="minorHAnsi" w:hAnsiTheme="minorHAnsi" w:cstheme="minorHAnsi"/>
                      <w:sz w:val="20"/>
                      <w:szCs w:val="20"/>
                    </w:rPr>
                  </w:pPr>
                  <w:r>
                    <w:rPr>
                      <w:rFonts w:asciiTheme="minorHAnsi" w:hAnsiTheme="minorHAnsi" w:cstheme="minorHAnsi"/>
                      <w:sz w:val="20"/>
                      <w:szCs w:val="20"/>
                    </w:rPr>
                    <w:t>78%</w:t>
                  </w:r>
                </w:p>
              </w:tc>
              <w:tc>
                <w:tcPr>
                  <w:tcW w:w="1796" w:type="dxa"/>
                  <w:tcBorders>
                    <w:right w:val="single" w:sz="4" w:space="0" w:color="000000"/>
                  </w:tcBorders>
                </w:tcPr>
                <w:p w14:paraId="6ABC601B" w14:textId="4BBC06A1" w:rsidR="00337500" w:rsidRPr="008E5573" w:rsidRDefault="006C566E" w:rsidP="00426917">
                  <w:pPr>
                    <w:pStyle w:val="BodyText"/>
                    <w:jc w:val="center"/>
                    <w:rPr>
                      <w:rFonts w:asciiTheme="minorHAnsi" w:hAnsiTheme="minorHAnsi" w:cstheme="minorHAnsi"/>
                      <w:sz w:val="20"/>
                      <w:szCs w:val="20"/>
                    </w:rPr>
                  </w:pPr>
                  <w:r>
                    <w:rPr>
                      <w:rFonts w:asciiTheme="minorHAnsi" w:hAnsiTheme="minorHAnsi" w:cstheme="minorHAnsi"/>
                      <w:sz w:val="20"/>
                      <w:szCs w:val="20"/>
                    </w:rPr>
                    <w:t>81</w:t>
                  </w:r>
                  <w:r w:rsidR="00337500" w:rsidRPr="008E5573">
                    <w:rPr>
                      <w:rFonts w:asciiTheme="minorHAnsi" w:hAnsiTheme="minorHAnsi" w:cstheme="minorHAnsi"/>
                      <w:sz w:val="20"/>
                      <w:szCs w:val="20"/>
                    </w:rPr>
                    <w:t>%</w:t>
                  </w:r>
                </w:p>
              </w:tc>
              <w:tc>
                <w:tcPr>
                  <w:tcW w:w="1796" w:type="dxa"/>
                  <w:tcBorders>
                    <w:left w:val="single" w:sz="4" w:space="0" w:color="000000"/>
                    <w:right w:val="single" w:sz="4" w:space="0" w:color="000000"/>
                  </w:tcBorders>
                </w:tcPr>
                <w:p w14:paraId="57BFE770" w14:textId="1DFC503C" w:rsidR="00337500" w:rsidRPr="008E5573" w:rsidRDefault="0074260A" w:rsidP="00426917">
                  <w:pPr>
                    <w:pStyle w:val="BodyText"/>
                    <w:jc w:val="center"/>
                    <w:rPr>
                      <w:rFonts w:asciiTheme="minorHAnsi" w:hAnsiTheme="minorHAnsi" w:cstheme="minorHAnsi"/>
                      <w:sz w:val="20"/>
                      <w:szCs w:val="20"/>
                    </w:rPr>
                  </w:pPr>
                  <w:r>
                    <w:rPr>
                      <w:rFonts w:asciiTheme="minorHAnsi" w:hAnsiTheme="minorHAnsi" w:cstheme="minorHAnsi"/>
                      <w:sz w:val="20"/>
                      <w:szCs w:val="20"/>
                    </w:rPr>
                    <w:t>79</w:t>
                  </w:r>
                  <w:r w:rsidR="00337500" w:rsidRPr="008E5573">
                    <w:rPr>
                      <w:rFonts w:asciiTheme="minorHAnsi" w:hAnsiTheme="minorHAnsi" w:cstheme="minorHAnsi"/>
                      <w:sz w:val="20"/>
                      <w:szCs w:val="20"/>
                    </w:rPr>
                    <w:t>%</w:t>
                  </w:r>
                </w:p>
              </w:tc>
            </w:tr>
            <w:tr w:rsidR="00337500" w:rsidRPr="00BF0A14" w14:paraId="7807B67C" w14:textId="77777777" w:rsidTr="00830676">
              <w:trPr>
                <w:trHeight w:val="157"/>
              </w:trPr>
              <w:tc>
                <w:tcPr>
                  <w:tcW w:w="1745" w:type="dxa"/>
                  <w:tcBorders>
                    <w:left w:val="single" w:sz="4" w:space="0" w:color="000000"/>
                  </w:tcBorders>
                </w:tcPr>
                <w:p w14:paraId="4B38D6E6" w14:textId="77777777" w:rsidR="00337500" w:rsidRPr="008E5573" w:rsidRDefault="00337500" w:rsidP="00426917">
                  <w:pPr>
                    <w:jc w:val="center"/>
                    <w:rPr>
                      <w:rFonts w:asciiTheme="minorHAnsi" w:hAnsiTheme="minorHAnsi" w:cstheme="minorHAnsi"/>
                      <w:sz w:val="20"/>
                      <w:szCs w:val="20"/>
                    </w:rPr>
                  </w:pPr>
                  <w:r w:rsidRPr="008E5573">
                    <w:rPr>
                      <w:rFonts w:asciiTheme="minorHAnsi" w:hAnsiTheme="minorHAnsi" w:cstheme="minorHAnsi"/>
                      <w:sz w:val="20"/>
                      <w:szCs w:val="20"/>
                    </w:rPr>
                    <w:t>Middle School</w:t>
                  </w:r>
                </w:p>
              </w:tc>
              <w:tc>
                <w:tcPr>
                  <w:tcW w:w="1796" w:type="dxa"/>
                </w:tcPr>
                <w:p w14:paraId="7AFD7984" w14:textId="02E4BF6D" w:rsidR="00337500" w:rsidRPr="008E5573" w:rsidRDefault="00830676" w:rsidP="00426917">
                  <w:pPr>
                    <w:pStyle w:val="BodyText"/>
                    <w:jc w:val="center"/>
                    <w:rPr>
                      <w:rFonts w:asciiTheme="minorHAnsi" w:hAnsiTheme="minorHAnsi" w:cstheme="minorHAnsi"/>
                      <w:sz w:val="20"/>
                      <w:szCs w:val="20"/>
                    </w:rPr>
                  </w:pPr>
                  <w:r>
                    <w:rPr>
                      <w:rFonts w:asciiTheme="minorHAnsi" w:hAnsiTheme="minorHAnsi" w:cstheme="minorHAnsi"/>
                      <w:sz w:val="20"/>
                      <w:szCs w:val="20"/>
                    </w:rPr>
                    <w:t>82%</w:t>
                  </w:r>
                </w:p>
              </w:tc>
              <w:tc>
                <w:tcPr>
                  <w:tcW w:w="1796" w:type="dxa"/>
                  <w:tcBorders>
                    <w:right w:val="single" w:sz="4" w:space="0" w:color="000000"/>
                  </w:tcBorders>
                </w:tcPr>
                <w:p w14:paraId="5E99134A" w14:textId="67F8CDC4" w:rsidR="00337500" w:rsidRPr="008E5573" w:rsidRDefault="00361425" w:rsidP="00426917">
                  <w:pPr>
                    <w:pStyle w:val="BodyText"/>
                    <w:jc w:val="center"/>
                    <w:rPr>
                      <w:rFonts w:asciiTheme="minorHAnsi" w:hAnsiTheme="minorHAnsi" w:cstheme="minorHAnsi"/>
                      <w:sz w:val="20"/>
                      <w:szCs w:val="20"/>
                    </w:rPr>
                  </w:pPr>
                  <w:r>
                    <w:rPr>
                      <w:rFonts w:asciiTheme="minorHAnsi" w:hAnsiTheme="minorHAnsi" w:cstheme="minorHAnsi"/>
                      <w:sz w:val="20"/>
                      <w:szCs w:val="20"/>
                    </w:rPr>
                    <w:t>86</w:t>
                  </w:r>
                  <w:r w:rsidR="00337500" w:rsidRPr="008E5573">
                    <w:rPr>
                      <w:rFonts w:asciiTheme="minorHAnsi" w:hAnsiTheme="minorHAnsi" w:cstheme="minorHAnsi"/>
                      <w:sz w:val="20"/>
                      <w:szCs w:val="20"/>
                    </w:rPr>
                    <w:t>%</w:t>
                  </w:r>
                </w:p>
              </w:tc>
              <w:tc>
                <w:tcPr>
                  <w:tcW w:w="1796" w:type="dxa"/>
                  <w:tcBorders>
                    <w:left w:val="single" w:sz="4" w:space="0" w:color="000000"/>
                    <w:right w:val="single" w:sz="4" w:space="0" w:color="000000"/>
                  </w:tcBorders>
                </w:tcPr>
                <w:p w14:paraId="3185E0A4" w14:textId="03BB2E5F" w:rsidR="00337500" w:rsidRPr="008E5573" w:rsidRDefault="00337500" w:rsidP="00426917">
                  <w:pPr>
                    <w:pStyle w:val="BodyText"/>
                    <w:jc w:val="center"/>
                    <w:rPr>
                      <w:rFonts w:asciiTheme="minorHAnsi" w:hAnsiTheme="minorHAnsi" w:cstheme="minorHAnsi"/>
                      <w:sz w:val="20"/>
                      <w:szCs w:val="20"/>
                    </w:rPr>
                  </w:pPr>
                  <w:r w:rsidRPr="008E5573">
                    <w:rPr>
                      <w:rFonts w:asciiTheme="minorHAnsi" w:hAnsiTheme="minorHAnsi" w:cstheme="minorHAnsi"/>
                      <w:sz w:val="20"/>
                      <w:szCs w:val="20"/>
                    </w:rPr>
                    <w:t>8</w:t>
                  </w:r>
                  <w:r w:rsidR="0074260A">
                    <w:rPr>
                      <w:rFonts w:asciiTheme="minorHAnsi" w:hAnsiTheme="minorHAnsi" w:cstheme="minorHAnsi"/>
                      <w:sz w:val="20"/>
                      <w:szCs w:val="20"/>
                    </w:rPr>
                    <w:t>6</w:t>
                  </w:r>
                  <w:r w:rsidRPr="008E5573">
                    <w:rPr>
                      <w:rFonts w:asciiTheme="minorHAnsi" w:hAnsiTheme="minorHAnsi" w:cstheme="minorHAnsi"/>
                      <w:sz w:val="20"/>
                      <w:szCs w:val="20"/>
                    </w:rPr>
                    <w:t>%</w:t>
                  </w:r>
                </w:p>
              </w:tc>
            </w:tr>
            <w:tr w:rsidR="00337500" w:rsidRPr="00BF0A14" w14:paraId="40F7A124" w14:textId="77777777" w:rsidTr="00830676">
              <w:trPr>
                <w:trHeight w:val="78"/>
              </w:trPr>
              <w:tc>
                <w:tcPr>
                  <w:tcW w:w="1745" w:type="dxa"/>
                  <w:tcBorders>
                    <w:left w:val="single" w:sz="4" w:space="0" w:color="000000"/>
                  </w:tcBorders>
                </w:tcPr>
                <w:p w14:paraId="5AF0BB1E" w14:textId="77777777" w:rsidR="00337500" w:rsidRPr="008E5573" w:rsidRDefault="00337500" w:rsidP="00426917">
                  <w:pPr>
                    <w:jc w:val="center"/>
                    <w:rPr>
                      <w:rFonts w:asciiTheme="minorHAnsi" w:hAnsiTheme="minorHAnsi" w:cstheme="minorHAnsi"/>
                      <w:sz w:val="20"/>
                      <w:szCs w:val="20"/>
                    </w:rPr>
                  </w:pPr>
                  <w:r w:rsidRPr="008E5573">
                    <w:rPr>
                      <w:rFonts w:asciiTheme="minorHAnsi" w:hAnsiTheme="minorHAnsi" w:cstheme="minorHAnsi"/>
                      <w:sz w:val="20"/>
                      <w:szCs w:val="20"/>
                    </w:rPr>
                    <w:t>Upper School</w:t>
                  </w:r>
                </w:p>
              </w:tc>
              <w:tc>
                <w:tcPr>
                  <w:tcW w:w="1796" w:type="dxa"/>
                </w:tcPr>
                <w:p w14:paraId="4A89615E" w14:textId="12D52AC2" w:rsidR="00337500" w:rsidRPr="008E5573" w:rsidRDefault="00830676" w:rsidP="00426917">
                  <w:pPr>
                    <w:pStyle w:val="BodyText"/>
                    <w:jc w:val="center"/>
                    <w:rPr>
                      <w:rFonts w:asciiTheme="minorHAnsi" w:hAnsiTheme="minorHAnsi" w:cstheme="minorHAnsi"/>
                      <w:sz w:val="20"/>
                      <w:szCs w:val="20"/>
                    </w:rPr>
                  </w:pPr>
                  <w:r>
                    <w:rPr>
                      <w:rFonts w:asciiTheme="minorHAnsi" w:hAnsiTheme="minorHAnsi" w:cstheme="minorHAnsi"/>
                      <w:sz w:val="20"/>
                      <w:szCs w:val="20"/>
                    </w:rPr>
                    <w:t>70%</w:t>
                  </w:r>
                </w:p>
              </w:tc>
              <w:tc>
                <w:tcPr>
                  <w:tcW w:w="1796" w:type="dxa"/>
                  <w:tcBorders>
                    <w:right w:val="single" w:sz="4" w:space="0" w:color="000000"/>
                  </w:tcBorders>
                </w:tcPr>
                <w:p w14:paraId="60474257" w14:textId="3C76AB52" w:rsidR="00337500" w:rsidRPr="008E5573" w:rsidRDefault="00361425" w:rsidP="00426917">
                  <w:pPr>
                    <w:pStyle w:val="BodyText"/>
                    <w:jc w:val="center"/>
                    <w:rPr>
                      <w:rFonts w:asciiTheme="minorHAnsi" w:hAnsiTheme="minorHAnsi" w:cstheme="minorHAnsi"/>
                      <w:sz w:val="20"/>
                      <w:szCs w:val="20"/>
                    </w:rPr>
                  </w:pPr>
                  <w:r>
                    <w:rPr>
                      <w:rFonts w:asciiTheme="minorHAnsi" w:hAnsiTheme="minorHAnsi" w:cstheme="minorHAnsi"/>
                      <w:sz w:val="20"/>
                      <w:szCs w:val="20"/>
                    </w:rPr>
                    <w:t>82</w:t>
                  </w:r>
                  <w:r w:rsidR="00337500" w:rsidRPr="008E5573">
                    <w:rPr>
                      <w:rFonts w:asciiTheme="minorHAnsi" w:hAnsiTheme="minorHAnsi" w:cstheme="minorHAnsi"/>
                      <w:sz w:val="20"/>
                      <w:szCs w:val="20"/>
                    </w:rPr>
                    <w:t>%</w:t>
                  </w:r>
                </w:p>
              </w:tc>
              <w:tc>
                <w:tcPr>
                  <w:tcW w:w="1796" w:type="dxa"/>
                  <w:tcBorders>
                    <w:left w:val="single" w:sz="4" w:space="0" w:color="000000"/>
                    <w:right w:val="single" w:sz="4" w:space="0" w:color="000000"/>
                  </w:tcBorders>
                </w:tcPr>
                <w:p w14:paraId="28C8F8A5" w14:textId="77777777" w:rsidR="00337500" w:rsidRPr="008E5573" w:rsidRDefault="00337500" w:rsidP="00426917">
                  <w:pPr>
                    <w:pStyle w:val="BodyText"/>
                    <w:jc w:val="center"/>
                    <w:rPr>
                      <w:rFonts w:asciiTheme="minorHAnsi" w:hAnsiTheme="minorHAnsi" w:cstheme="minorHAnsi"/>
                      <w:sz w:val="20"/>
                      <w:szCs w:val="20"/>
                    </w:rPr>
                  </w:pPr>
                  <w:r>
                    <w:rPr>
                      <w:rFonts w:asciiTheme="minorHAnsi" w:hAnsiTheme="minorHAnsi" w:cstheme="minorHAnsi"/>
                      <w:sz w:val="20"/>
                      <w:szCs w:val="20"/>
                    </w:rPr>
                    <w:t>87</w:t>
                  </w:r>
                  <w:r w:rsidRPr="008E5573">
                    <w:rPr>
                      <w:rFonts w:asciiTheme="minorHAnsi" w:hAnsiTheme="minorHAnsi" w:cstheme="minorHAnsi"/>
                      <w:sz w:val="20"/>
                      <w:szCs w:val="20"/>
                    </w:rPr>
                    <w:t>%</w:t>
                  </w:r>
                </w:p>
              </w:tc>
            </w:tr>
            <w:tr w:rsidR="00337500" w:rsidRPr="0039005E" w14:paraId="40706E74" w14:textId="77777777" w:rsidTr="00830676">
              <w:trPr>
                <w:trHeight w:val="89"/>
              </w:trPr>
              <w:tc>
                <w:tcPr>
                  <w:tcW w:w="1745" w:type="dxa"/>
                  <w:tcBorders>
                    <w:left w:val="single" w:sz="4" w:space="0" w:color="000000"/>
                    <w:bottom w:val="single" w:sz="4" w:space="0" w:color="000000"/>
                  </w:tcBorders>
                </w:tcPr>
                <w:p w14:paraId="76EDBBB0" w14:textId="77777777" w:rsidR="00337500" w:rsidRPr="008E5573" w:rsidRDefault="00337500" w:rsidP="00426917">
                  <w:pPr>
                    <w:jc w:val="center"/>
                    <w:rPr>
                      <w:rFonts w:asciiTheme="minorHAnsi" w:hAnsiTheme="minorHAnsi" w:cstheme="minorHAnsi"/>
                      <w:sz w:val="20"/>
                      <w:szCs w:val="20"/>
                    </w:rPr>
                  </w:pPr>
                  <w:r w:rsidRPr="008E5573">
                    <w:rPr>
                      <w:rFonts w:asciiTheme="minorHAnsi" w:hAnsiTheme="minorHAnsi" w:cstheme="minorHAnsi"/>
                      <w:sz w:val="20"/>
                      <w:szCs w:val="20"/>
                    </w:rPr>
                    <w:t>Sixth Form</w:t>
                  </w:r>
                </w:p>
              </w:tc>
              <w:tc>
                <w:tcPr>
                  <w:tcW w:w="1796" w:type="dxa"/>
                  <w:tcBorders>
                    <w:bottom w:val="single" w:sz="4" w:space="0" w:color="000000"/>
                  </w:tcBorders>
                </w:tcPr>
                <w:p w14:paraId="47A4786A" w14:textId="1EFA8DD1" w:rsidR="00337500" w:rsidRPr="008E5573" w:rsidRDefault="006C566E" w:rsidP="00426917">
                  <w:pPr>
                    <w:pStyle w:val="BodyText"/>
                    <w:jc w:val="center"/>
                    <w:rPr>
                      <w:rFonts w:asciiTheme="minorHAnsi" w:hAnsiTheme="minorHAnsi" w:cstheme="minorHAnsi"/>
                      <w:sz w:val="20"/>
                      <w:szCs w:val="20"/>
                    </w:rPr>
                  </w:pPr>
                  <w:r>
                    <w:rPr>
                      <w:rFonts w:asciiTheme="minorHAnsi" w:hAnsiTheme="minorHAnsi" w:cstheme="minorHAnsi"/>
                      <w:sz w:val="20"/>
                      <w:szCs w:val="20"/>
                    </w:rPr>
                    <w:t>66%</w:t>
                  </w:r>
                </w:p>
              </w:tc>
              <w:tc>
                <w:tcPr>
                  <w:tcW w:w="1796" w:type="dxa"/>
                  <w:tcBorders>
                    <w:bottom w:val="single" w:sz="4" w:space="0" w:color="000000"/>
                    <w:right w:val="single" w:sz="4" w:space="0" w:color="000000"/>
                  </w:tcBorders>
                </w:tcPr>
                <w:p w14:paraId="1946586F" w14:textId="3BC2306F" w:rsidR="00337500" w:rsidRPr="008E5573" w:rsidRDefault="00361425" w:rsidP="00426917">
                  <w:pPr>
                    <w:pStyle w:val="BodyText"/>
                    <w:jc w:val="center"/>
                    <w:rPr>
                      <w:rFonts w:asciiTheme="minorHAnsi" w:hAnsiTheme="minorHAnsi" w:cstheme="minorHAnsi"/>
                      <w:sz w:val="20"/>
                      <w:szCs w:val="20"/>
                    </w:rPr>
                  </w:pPr>
                  <w:r>
                    <w:rPr>
                      <w:rFonts w:asciiTheme="minorHAnsi" w:hAnsiTheme="minorHAnsi" w:cstheme="minorHAnsi"/>
                      <w:sz w:val="20"/>
                      <w:szCs w:val="20"/>
                    </w:rPr>
                    <w:t>78</w:t>
                  </w:r>
                  <w:r w:rsidR="00337500" w:rsidRPr="008E5573">
                    <w:rPr>
                      <w:rFonts w:asciiTheme="minorHAnsi" w:hAnsiTheme="minorHAnsi" w:cstheme="minorHAnsi"/>
                      <w:sz w:val="20"/>
                      <w:szCs w:val="20"/>
                    </w:rPr>
                    <w:t>%</w:t>
                  </w:r>
                </w:p>
              </w:tc>
              <w:tc>
                <w:tcPr>
                  <w:tcW w:w="1796" w:type="dxa"/>
                  <w:tcBorders>
                    <w:left w:val="single" w:sz="4" w:space="0" w:color="000000"/>
                    <w:bottom w:val="single" w:sz="4" w:space="0" w:color="000000"/>
                    <w:right w:val="single" w:sz="4" w:space="0" w:color="000000"/>
                  </w:tcBorders>
                </w:tcPr>
                <w:p w14:paraId="3ABB59CA" w14:textId="15D2953F" w:rsidR="00337500" w:rsidRPr="008E5573" w:rsidRDefault="0074260A" w:rsidP="00426917">
                  <w:pPr>
                    <w:pStyle w:val="BodyText"/>
                    <w:jc w:val="center"/>
                    <w:rPr>
                      <w:rFonts w:asciiTheme="minorHAnsi" w:hAnsiTheme="minorHAnsi" w:cstheme="minorHAnsi"/>
                      <w:sz w:val="20"/>
                      <w:szCs w:val="20"/>
                    </w:rPr>
                  </w:pPr>
                  <w:r>
                    <w:rPr>
                      <w:rFonts w:asciiTheme="minorHAnsi" w:hAnsiTheme="minorHAnsi" w:cstheme="minorHAnsi"/>
                      <w:sz w:val="20"/>
                      <w:szCs w:val="20"/>
                    </w:rPr>
                    <w:t>85</w:t>
                  </w:r>
                  <w:r w:rsidR="00337500" w:rsidRPr="008E5573">
                    <w:rPr>
                      <w:rFonts w:asciiTheme="minorHAnsi" w:hAnsiTheme="minorHAnsi" w:cstheme="minorHAnsi"/>
                      <w:sz w:val="20"/>
                      <w:szCs w:val="20"/>
                    </w:rPr>
                    <w:t>%</w:t>
                  </w:r>
                </w:p>
              </w:tc>
            </w:tr>
          </w:tbl>
          <w:p w14:paraId="434EC5D9" w14:textId="77777777" w:rsidR="005333F3" w:rsidRDefault="005333F3" w:rsidP="00B46A33"/>
          <w:p w14:paraId="594A5970" w14:textId="77777777" w:rsidR="00426917" w:rsidRDefault="00426917" w:rsidP="00B46A33"/>
          <w:p w14:paraId="7DD45813" w14:textId="77777777" w:rsidR="00426917" w:rsidRDefault="00426917" w:rsidP="00B46A33"/>
          <w:p w14:paraId="368B9483" w14:textId="77777777" w:rsidR="00426917" w:rsidRDefault="00426917" w:rsidP="00B46A33"/>
          <w:p w14:paraId="071881F8" w14:textId="77777777" w:rsidR="00426917" w:rsidRDefault="00426917" w:rsidP="00B46A33"/>
          <w:p w14:paraId="6D31F71D" w14:textId="77777777" w:rsidR="00B46A33" w:rsidRDefault="00B46A33" w:rsidP="00B46A33">
            <w:pPr>
              <w:rPr>
                <w:rFonts w:cs="Arial"/>
                <w:sz w:val="20"/>
                <w:szCs w:val="20"/>
              </w:rPr>
            </w:pPr>
          </w:p>
          <w:p w14:paraId="4C6C8EA0" w14:textId="6673BA36" w:rsidR="00426917" w:rsidRDefault="00426917" w:rsidP="00B46A33">
            <w:pPr>
              <w:rPr>
                <w:rFonts w:cs="Arial"/>
                <w:sz w:val="20"/>
                <w:szCs w:val="20"/>
              </w:rPr>
            </w:pPr>
            <w:r w:rsidRPr="00426917">
              <w:rPr>
                <w:rFonts w:cs="Arial"/>
                <w:sz w:val="20"/>
                <w:szCs w:val="20"/>
              </w:rPr>
              <w:t>T</w:t>
            </w:r>
            <w:r>
              <w:rPr>
                <w:rFonts w:cs="Arial"/>
                <w:sz w:val="20"/>
                <w:szCs w:val="20"/>
              </w:rPr>
              <w:t>hese figures exclude</w:t>
            </w:r>
            <w:r w:rsidRPr="00426917">
              <w:rPr>
                <w:rFonts w:cs="Arial"/>
                <w:sz w:val="20"/>
                <w:szCs w:val="20"/>
              </w:rPr>
              <w:t xml:space="preserve"> 2 pupils who are having their needs met by tutors</w:t>
            </w:r>
            <w:r>
              <w:rPr>
                <w:rFonts w:cs="Arial"/>
                <w:sz w:val="20"/>
                <w:szCs w:val="20"/>
              </w:rPr>
              <w:t xml:space="preserve"> provided by Croydon</w:t>
            </w:r>
            <w:r w:rsidRPr="00426917">
              <w:rPr>
                <w:rFonts w:cs="Arial"/>
                <w:sz w:val="20"/>
                <w:szCs w:val="20"/>
              </w:rPr>
              <w:t xml:space="preserve"> due to their complex medical conditions</w:t>
            </w:r>
            <w:r>
              <w:rPr>
                <w:rFonts w:cs="Arial"/>
                <w:sz w:val="20"/>
                <w:szCs w:val="20"/>
              </w:rPr>
              <w:t xml:space="preserve">. It also does not include </w:t>
            </w:r>
            <w:r w:rsidR="0074260A">
              <w:rPr>
                <w:rFonts w:cs="Arial"/>
                <w:sz w:val="20"/>
                <w:szCs w:val="20"/>
              </w:rPr>
              <w:t>5</w:t>
            </w:r>
            <w:r w:rsidRPr="00426917">
              <w:rPr>
                <w:rFonts w:cs="Arial"/>
                <w:sz w:val="20"/>
                <w:szCs w:val="20"/>
              </w:rPr>
              <w:t xml:space="preserve"> pupils who were in hospital for the first half of the Autumn Term</w:t>
            </w:r>
            <w:r>
              <w:rPr>
                <w:rFonts w:cs="Arial"/>
                <w:sz w:val="20"/>
                <w:szCs w:val="20"/>
              </w:rPr>
              <w:t xml:space="preserve"> 2022</w:t>
            </w:r>
            <w:r w:rsidR="0074260A">
              <w:rPr>
                <w:rFonts w:cs="Arial"/>
                <w:sz w:val="20"/>
                <w:szCs w:val="20"/>
              </w:rPr>
              <w:t xml:space="preserve"> or a sixth form pupil who receives support from school at home</w:t>
            </w:r>
            <w:r>
              <w:rPr>
                <w:rFonts w:cs="Arial"/>
                <w:sz w:val="20"/>
                <w:szCs w:val="20"/>
              </w:rPr>
              <w:t xml:space="preserve">. This </w:t>
            </w:r>
            <w:r w:rsidRPr="00426917">
              <w:rPr>
                <w:rFonts w:cs="Arial"/>
                <w:sz w:val="20"/>
                <w:szCs w:val="20"/>
              </w:rPr>
              <w:t>remains an area of focus</w:t>
            </w:r>
            <w:r>
              <w:rPr>
                <w:rFonts w:cs="Arial"/>
                <w:sz w:val="20"/>
                <w:szCs w:val="20"/>
              </w:rPr>
              <w:t xml:space="preserve"> for the school.</w:t>
            </w:r>
          </w:p>
          <w:p w14:paraId="19F7F555" w14:textId="2F66E827" w:rsidR="00426917" w:rsidRDefault="00CE0B83" w:rsidP="00B46A33">
            <w:pPr>
              <w:rPr>
                <w:b/>
                <w:i/>
                <w:sz w:val="20"/>
                <w:szCs w:val="20"/>
              </w:rPr>
            </w:pPr>
            <w:r w:rsidRPr="00CE0B83">
              <w:rPr>
                <w:rFonts w:cs="Arial"/>
                <w:b/>
                <w:i/>
                <w:sz w:val="20"/>
                <w:szCs w:val="20"/>
              </w:rPr>
              <w:t xml:space="preserve">Challenge 3 - </w:t>
            </w:r>
            <w:r w:rsidRPr="00CE0B83">
              <w:rPr>
                <w:b/>
                <w:i/>
                <w:sz w:val="20"/>
                <w:szCs w:val="20"/>
              </w:rPr>
              <w:t>Improved achievement of physical and sensory EHCP outcomes for pupils with complex physical and medical needs including PMLD pupils.</w:t>
            </w:r>
          </w:p>
          <w:tbl>
            <w:tblPr>
              <w:tblStyle w:val="TableGrid"/>
              <w:tblW w:w="0" w:type="auto"/>
              <w:jc w:val="center"/>
              <w:tblLook w:val="04A0" w:firstRow="1" w:lastRow="0" w:firstColumn="1" w:lastColumn="0" w:noHBand="0" w:noVBand="1"/>
            </w:tblPr>
            <w:tblGrid>
              <w:gridCol w:w="2738"/>
              <w:gridCol w:w="2738"/>
              <w:gridCol w:w="2738"/>
            </w:tblGrid>
            <w:tr w:rsidR="00B46A33" w14:paraId="362A34CF" w14:textId="77777777" w:rsidTr="00B46A33">
              <w:trPr>
                <w:trHeight w:val="541"/>
                <w:jc w:val="center"/>
              </w:trPr>
              <w:tc>
                <w:tcPr>
                  <w:tcW w:w="2738" w:type="dxa"/>
                </w:tcPr>
                <w:p w14:paraId="4F8146BA" w14:textId="77777777" w:rsidR="00B46A33" w:rsidRPr="00CF5B00" w:rsidRDefault="00B46A33" w:rsidP="00B46A33">
                  <w:pPr>
                    <w:jc w:val="center"/>
                    <w:rPr>
                      <w:b/>
                      <w:sz w:val="16"/>
                      <w:szCs w:val="16"/>
                    </w:rPr>
                  </w:pPr>
                </w:p>
              </w:tc>
              <w:tc>
                <w:tcPr>
                  <w:tcW w:w="2738" w:type="dxa"/>
                </w:tcPr>
                <w:p w14:paraId="2D8330A1" w14:textId="77777777" w:rsidR="00B46A33" w:rsidRDefault="00B46A33" w:rsidP="00B46A33">
                  <w:pPr>
                    <w:spacing w:after="0"/>
                    <w:jc w:val="center"/>
                    <w:rPr>
                      <w:b/>
                      <w:sz w:val="16"/>
                      <w:szCs w:val="16"/>
                    </w:rPr>
                  </w:pPr>
                  <w:r w:rsidRPr="00CF5B00">
                    <w:rPr>
                      <w:b/>
                      <w:sz w:val="16"/>
                      <w:szCs w:val="16"/>
                    </w:rPr>
                    <w:t>All Pupils</w:t>
                  </w:r>
                </w:p>
                <w:p w14:paraId="1CED48E9" w14:textId="77777777" w:rsidR="00B46A33" w:rsidRPr="00CF5B00" w:rsidRDefault="00B46A33" w:rsidP="00B46A33">
                  <w:pPr>
                    <w:spacing w:after="0"/>
                    <w:jc w:val="center"/>
                    <w:rPr>
                      <w:b/>
                      <w:sz w:val="16"/>
                      <w:szCs w:val="16"/>
                    </w:rPr>
                  </w:pPr>
                  <w:r>
                    <w:rPr>
                      <w:b/>
                      <w:sz w:val="16"/>
                      <w:szCs w:val="16"/>
                    </w:rPr>
                    <w:t>Summer 22</w:t>
                  </w:r>
                </w:p>
              </w:tc>
              <w:tc>
                <w:tcPr>
                  <w:tcW w:w="2738" w:type="dxa"/>
                </w:tcPr>
                <w:p w14:paraId="5612E3DE" w14:textId="77777777" w:rsidR="00B46A33" w:rsidRDefault="00B46A33" w:rsidP="00B46A33">
                  <w:pPr>
                    <w:spacing w:after="0"/>
                    <w:jc w:val="center"/>
                    <w:rPr>
                      <w:b/>
                      <w:sz w:val="16"/>
                      <w:szCs w:val="16"/>
                    </w:rPr>
                  </w:pPr>
                  <w:r w:rsidRPr="00CF5B00">
                    <w:rPr>
                      <w:b/>
                      <w:sz w:val="16"/>
                      <w:szCs w:val="16"/>
                    </w:rPr>
                    <w:t>PP</w:t>
                  </w:r>
                </w:p>
                <w:p w14:paraId="2DBC9198" w14:textId="77777777" w:rsidR="00B46A33" w:rsidRPr="00CF5B00" w:rsidRDefault="00B46A33" w:rsidP="00B46A33">
                  <w:pPr>
                    <w:spacing w:after="0"/>
                    <w:jc w:val="center"/>
                    <w:rPr>
                      <w:b/>
                      <w:sz w:val="16"/>
                      <w:szCs w:val="16"/>
                    </w:rPr>
                  </w:pPr>
                  <w:r>
                    <w:rPr>
                      <w:b/>
                      <w:sz w:val="16"/>
                      <w:szCs w:val="16"/>
                    </w:rPr>
                    <w:t>Summer 22</w:t>
                  </w:r>
                </w:p>
              </w:tc>
            </w:tr>
            <w:tr w:rsidR="00B46A33" w14:paraId="5AEEACFB" w14:textId="77777777" w:rsidTr="00B46A33">
              <w:trPr>
                <w:trHeight w:val="269"/>
                <w:jc w:val="center"/>
              </w:trPr>
              <w:tc>
                <w:tcPr>
                  <w:tcW w:w="2738" w:type="dxa"/>
                </w:tcPr>
                <w:p w14:paraId="44CFF5DA" w14:textId="2738C7BB" w:rsidR="00B46A33" w:rsidRPr="00CF5B00" w:rsidRDefault="00B46A33" w:rsidP="00B46A33">
                  <w:pPr>
                    <w:spacing w:after="0"/>
                    <w:jc w:val="center"/>
                    <w:rPr>
                      <w:b/>
                      <w:sz w:val="16"/>
                      <w:szCs w:val="16"/>
                    </w:rPr>
                  </w:pPr>
                  <w:r w:rsidRPr="00CF5B00">
                    <w:rPr>
                      <w:b/>
                      <w:sz w:val="16"/>
                      <w:szCs w:val="16"/>
                    </w:rPr>
                    <w:t xml:space="preserve">EHCP Outcomes </w:t>
                  </w:r>
                  <w:r>
                    <w:rPr>
                      <w:b/>
                      <w:sz w:val="16"/>
                      <w:szCs w:val="16"/>
                    </w:rPr>
                    <w:t>Physical and Sensory</w:t>
                  </w:r>
                </w:p>
                <w:p w14:paraId="791772B3" w14:textId="08EEF9FB" w:rsidR="00B46A33" w:rsidRPr="00CF5B00" w:rsidRDefault="00B46A33" w:rsidP="00B46A33">
                  <w:pPr>
                    <w:spacing w:after="0"/>
                    <w:jc w:val="center"/>
                    <w:rPr>
                      <w:sz w:val="16"/>
                      <w:szCs w:val="16"/>
                    </w:rPr>
                  </w:pPr>
                </w:p>
              </w:tc>
              <w:tc>
                <w:tcPr>
                  <w:tcW w:w="2738" w:type="dxa"/>
                </w:tcPr>
                <w:p w14:paraId="1DEE9CC3" w14:textId="77777777" w:rsidR="00B46A33" w:rsidRPr="00B46A33" w:rsidRDefault="00B46A33" w:rsidP="00B46A33">
                  <w:pPr>
                    <w:spacing w:after="0"/>
                    <w:jc w:val="center"/>
                    <w:rPr>
                      <w:sz w:val="16"/>
                      <w:szCs w:val="16"/>
                    </w:rPr>
                  </w:pPr>
                  <w:r w:rsidRPr="00B46A33">
                    <w:rPr>
                      <w:sz w:val="16"/>
                      <w:szCs w:val="16"/>
                    </w:rPr>
                    <w:t>Achieved average – 70%</w:t>
                  </w:r>
                </w:p>
                <w:p w14:paraId="26DC0D77" w14:textId="66009DDC" w:rsidR="00B46A33" w:rsidRPr="00CF5B00" w:rsidRDefault="00B46A33" w:rsidP="00B46A33">
                  <w:pPr>
                    <w:spacing w:after="0"/>
                    <w:jc w:val="center"/>
                    <w:rPr>
                      <w:sz w:val="16"/>
                      <w:szCs w:val="16"/>
                    </w:rPr>
                  </w:pPr>
                  <w:r w:rsidRPr="00B46A33">
                    <w:rPr>
                      <w:sz w:val="16"/>
                      <w:szCs w:val="16"/>
                    </w:rPr>
                    <w:t>Partially achieved average – 26%</w:t>
                  </w:r>
                </w:p>
              </w:tc>
              <w:tc>
                <w:tcPr>
                  <w:tcW w:w="2738" w:type="dxa"/>
                </w:tcPr>
                <w:p w14:paraId="7CCBB281" w14:textId="77777777" w:rsidR="00F835BC" w:rsidRPr="00F835BC" w:rsidRDefault="00F835BC" w:rsidP="00F835BC">
                  <w:pPr>
                    <w:spacing w:after="0"/>
                    <w:jc w:val="center"/>
                    <w:rPr>
                      <w:sz w:val="16"/>
                      <w:szCs w:val="16"/>
                    </w:rPr>
                  </w:pPr>
                  <w:r w:rsidRPr="00F835BC">
                    <w:rPr>
                      <w:sz w:val="16"/>
                      <w:szCs w:val="16"/>
                    </w:rPr>
                    <w:t>Achieved average – 85%</w:t>
                  </w:r>
                </w:p>
                <w:p w14:paraId="5FC9C746" w14:textId="2D8BEBA9" w:rsidR="00B46A33" w:rsidRPr="00CF5B00" w:rsidRDefault="00F835BC" w:rsidP="00F835BC">
                  <w:pPr>
                    <w:spacing w:after="0"/>
                    <w:jc w:val="center"/>
                    <w:rPr>
                      <w:sz w:val="16"/>
                      <w:szCs w:val="16"/>
                    </w:rPr>
                  </w:pPr>
                  <w:r w:rsidRPr="00F835BC">
                    <w:rPr>
                      <w:sz w:val="16"/>
                      <w:szCs w:val="16"/>
                    </w:rPr>
                    <w:t>Partially achieved average – 15%</w:t>
                  </w:r>
                </w:p>
              </w:tc>
            </w:tr>
          </w:tbl>
          <w:p w14:paraId="5023926C" w14:textId="43765E4F" w:rsidR="00426917" w:rsidRPr="00E23A28" w:rsidRDefault="00F835BC" w:rsidP="00B81981">
            <w:pPr>
              <w:rPr>
                <w:sz w:val="20"/>
                <w:szCs w:val="20"/>
              </w:rPr>
            </w:pPr>
            <w:r>
              <w:rPr>
                <w:sz w:val="20"/>
                <w:szCs w:val="20"/>
              </w:rPr>
              <w:lastRenderedPageBreak/>
              <w:t xml:space="preserve">The results for progress towards Physical and Sensory EHCP outcomes are </w:t>
            </w:r>
            <w:r w:rsidR="00F630E9">
              <w:rPr>
                <w:sz w:val="20"/>
                <w:szCs w:val="20"/>
              </w:rPr>
              <w:t xml:space="preserve">markedly more positive than the other EHCP outcomes. We therefore conclude that this </w:t>
            </w:r>
            <w:r w:rsidR="00B81981">
              <w:rPr>
                <w:sz w:val="20"/>
                <w:szCs w:val="20"/>
              </w:rPr>
              <w:t xml:space="preserve">an area of strength for the school and </w:t>
            </w:r>
            <w:r w:rsidR="00F630E9">
              <w:rPr>
                <w:sz w:val="20"/>
                <w:szCs w:val="20"/>
              </w:rPr>
              <w:t xml:space="preserve">no longer </w:t>
            </w:r>
            <w:r w:rsidR="00E23A28">
              <w:rPr>
                <w:sz w:val="20"/>
                <w:szCs w:val="20"/>
              </w:rPr>
              <w:t>an area of focus for the school.</w:t>
            </w:r>
          </w:p>
        </w:tc>
      </w:tr>
    </w:tbl>
    <w:p w14:paraId="2A7D5548" w14:textId="0199D85C" w:rsidR="00E66558" w:rsidRDefault="006D6372" w:rsidP="00A82A98">
      <w:pPr>
        <w:pStyle w:val="Heading2"/>
      </w:pPr>
      <w:r>
        <w:lastRenderedPageBreak/>
        <w:t>E</w:t>
      </w:r>
      <w:r w:rsidR="009D71E8">
        <w:t xml:space="preserve">xternally provided </w:t>
      </w:r>
      <w:r w:rsidR="009D71E8" w:rsidRPr="00F42E25">
        <w:t>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635ACF" w:rsidR="00E66558" w:rsidRDefault="0004672E">
            <w:pPr>
              <w:pStyle w:val="TableRow"/>
            </w:pPr>
            <w:r>
              <w:t>Music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BB5C370" w:rsidR="00E66558" w:rsidRPr="0004672E" w:rsidRDefault="0004672E">
            <w:pPr>
              <w:pStyle w:val="TableRowCentered"/>
              <w:jc w:val="left"/>
            </w:pPr>
            <w:r w:rsidRPr="0004672E">
              <w:t>Nordoff Robbins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D91777B" w:rsidR="00E66558" w:rsidRDefault="0004672E" w:rsidP="0004672E">
            <w:pPr>
              <w:pStyle w:val="TableRow"/>
            </w:pPr>
            <w:r>
              <w:t>Bespoke CPD for teachers to develop strategies to support individual pupils with ASD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6B784C4" w:rsidR="00E66558" w:rsidRDefault="0004672E">
            <w:pPr>
              <w:pStyle w:val="TableRowCentered"/>
              <w:jc w:val="left"/>
            </w:pPr>
            <w:r>
              <w:t>Social Eyes</w:t>
            </w:r>
          </w:p>
        </w:tc>
      </w:tr>
      <w:tr w:rsidR="0004672E" w14:paraId="2DC6FD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2B1A" w14:textId="5359A13A" w:rsidR="0004672E" w:rsidRDefault="0004672E">
            <w:pPr>
              <w:pStyle w:val="TableRow"/>
            </w:pPr>
            <w:r>
              <w:t>Bespoke sessions for pupils, team teaching, multi-agency meetings and CPD for staff in Alternative and Augmentative Communication (AAC).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6435" w14:textId="73068876" w:rsidR="0004672E" w:rsidRDefault="0004672E">
            <w:pPr>
              <w:pStyle w:val="TableRowCentered"/>
              <w:jc w:val="left"/>
            </w:pPr>
            <w:r>
              <w:t>Laura Armitage, Specialist AAC teacher</w:t>
            </w:r>
          </w:p>
        </w:tc>
      </w:tr>
      <w:bookmarkEnd w:id="15"/>
      <w:bookmarkEnd w:id="16"/>
      <w:bookmarkEnd w:id="17"/>
    </w:tbl>
    <w:p w14:paraId="2A7D5564" w14:textId="590AE6AE" w:rsidR="00E66558" w:rsidRDefault="00E66558"/>
    <w:sectPr w:rsidR="00E66558" w:rsidSect="00D44189">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D0C80" w:rsidRDefault="00CD0C80">
      <w:pPr>
        <w:spacing w:after="0" w:line="240" w:lineRule="auto"/>
      </w:pPr>
      <w:r>
        <w:separator/>
      </w:r>
    </w:p>
  </w:endnote>
  <w:endnote w:type="continuationSeparator" w:id="0">
    <w:p w14:paraId="3D0B605C" w14:textId="77777777" w:rsidR="00CD0C80" w:rsidRDefault="00CD0C80">
      <w:pPr>
        <w:spacing w:after="0" w:line="240" w:lineRule="auto"/>
      </w:pPr>
      <w:r>
        <w:continuationSeparator/>
      </w:r>
    </w:p>
  </w:endnote>
  <w:endnote w:type="continuationNotice" w:id="1">
    <w:p w14:paraId="5937F05E" w14:textId="77777777" w:rsidR="00CD0C80" w:rsidRDefault="00CD0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CEA55D1" w:rsidR="00CD0C80" w:rsidRDefault="00CD0C80">
    <w:pPr>
      <w:pStyle w:val="Footer"/>
      <w:ind w:firstLine="4513"/>
    </w:pPr>
    <w:r>
      <w:fldChar w:fldCharType="begin"/>
    </w:r>
    <w:r>
      <w:instrText xml:space="preserve"> PAGE </w:instrText>
    </w:r>
    <w:r>
      <w:fldChar w:fldCharType="separate"/>
    </w:r>
    <w:r w:rsidR="0088267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D0C80" w:rsidRDefault="00CD0C80">
      <w:pPr>
        <w:spacing w:after="0" w:line="240" w:lineRule="auto"/>
      </w:pPr>
      <w:r>
        <w:separator/>
      </w:r>
    </w:p>
  </w:footnote>
  <w:footnote w:type="continuationSeparator" w:id="0">
    <w:p w14:paraId="527955F0" w14:textId="77777777" w:rsidR="00CD0C80" w:rsidRDefault="00CD0C80">
      <w:pPr>
        <w:spacing w:after="0" w:line="240" w:lineRule="auto"/>
      </w:pPr>
      <w:r>
        <w:continuationSeparator/>
      </w:r>
    </w:p>
  </w:footnote>
  <w:footnote w:type="continuationNotice" w:id="1">
    <w:p w14:paraId="7C8694AF" w14:textId="77777777" w:rsidR="00CD0C80" w:rsidRDefault="00CD0C8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3F851888" w:rsidR="00CD0C80" w:rsidRDefault="00CD0C80">
    <w:pPr>
      <w:pStyle w:val="Header"/>
    </w:pPr>
    <w:r w:rsidRPr="00950080">
      <w:rPr>
        <w:noProof/>
      </w:rPr>
      <w:drawing>
        <wp:anchor distT="0" distB="0" distL="114300" distR="114300" simplePos="0" relativeHeight="251659264" behindDoc="1" locked="0" layoutInCell="1" allowOverlap="1" wp14:anchorId="700AF86A" wp14:editId="6FE8E0A2">
          <wp:simplePos x="0" y="0"/>
          <wp:positionH relativeFrom="column">
            <wp:posOffset>0</wp:posOffset>
          </wp:positionH>
          <wp:positionV relativeFrom="paragraph">
            <wp:posOffset>170815</wp:posOffset>
          </wp:positionV>
          <wp:extent cx="596900" cy="650118"/>
          <wp:effectExtent l="0" t="0" r="0" b="0"/>
          <wp:wrapTight wrapText="bothSides">
            <wp:wrapPolygon edited="0">
              <wp:start x="0" y="0"/>
              <wp:lineTo x="0" y="20903"/>
              <wp:lineTo x="20681" y="20903"/>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83" cy="6622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2CC"/>
    <w:rsid w:val="00003A45"/>
    <w:rsid w:val="00013CCB"/>
    <w:rsid w:val="00023729"/>
    <w:rsid w:val="000243B4"/>
    <w:rsid w:val="00040F1D"/>
    <w:rsid w:val="000452EB"/>
    <w:rsid w:val="000463AE"/>
    <w:rsid w:val="0004672E"/>
    <w:rsid w:val="000507A3"/>
    <w:rsid w:val="00060A62"/>
    <w:rsid w:val="00063D2A"/>
    <w:rsid w:val="00064366"/>
    <w:rsid w:val="00066B73"/>
    <w:rsid w:val="00071481"/>
    <w:rsid w:val="00075FAE"/>
    <w:rsid w:val="00082F38"/>
    <w:rsid w:val="0008384B"/>
    <w:rsid w:val="0009100C"/>
    <w:rsid w:val="000929EC"/>
    <w:rsid w:val="00093CDE"/>
    <w:rsid w:val="000A6379"/>
    <w:rsid w:val="000D22B0"/>
    <w:rsid w:val="000D35C9"/>
    <w:rsid w:val="000D520C"/>
    <w:rsid w:val="000D6596"/>
    <w:rsid w:val="000E3620"/>
    <w:rsid w:val="000E6DF0"/>
    <w:rsid w:val="000F2A30"/>
    <w:rsid w:val="000F360F"/>
    <w:rsid w:val="00100721"/>
    <w:rsid w:val="00102BAB"/>
    <w:rsid w:val="001037CB"/>
    <w:rsid w:val="0010629E"/>
    <w:rsid w:val="00115538"/>
    <w:rsid w:val="00120AB1"/>
    <w:rsid w:val="00123A7F"/>
    <w:rsid w:val="001258A1"/>
    <w:rsid w:val="00125F22"/>
    <w:rsid w:val="001278D0"/>
    <w:rsid w:val="00127F72"/>
    <w:rsid w:val="00140646"/>
    <w:rsid w:val="00141CC8"/>
    <w:rsid w:val="00147A4B"/>
    <w:rsid w:val="001655DB"/>
    <w:rsid w:val="001671ED"/>
    <w:rsid w:val="001727FA"/>
    <w:rsid w:val="00173D4C"/>
    <w:rsid w:val="00175045"/>
    <w:rsid w:val="00183218"/>
    <w:rsid w:val="00185988"/>
    <w:rsid w:val="001873B6"/>
    <w:rsid w:val="00187C40"/>
    <w:rsid w:val="001901E6"/>
    <w:rsid w:val="00191305"/>
    <w:rsid w:val="00195B55"/>
    <w:rsid w:val="001A2FE8"/>
    <w:rsid w:val="001A33AC"/>
    <w:rsid w:val="001B142C"/>
    <w:rsid w:val="001C1C51"/>
    <w:rsid w:val="001D0740"/>
    <w:rsid w:val="001E0ECA"/>
    <w:rsid w:val="001E206F"/>
    <w:rsid w:val="001E5750"/>
    <w:rsid w:val="001E7739"/>
    <w:rsid w:val="001F3DB4"/>
    <w:rsid w:val="0020026D"/>
    <w:rsid w:val="00200CAB"/>
    <w:rsid w:val="00204F40"/>
    <w:rsid w:val="00205DEF"/>
    <w:rsid w:val="0020606B"/>
    <w:rsid w:val="00216C8A"/>
    <w:rsid w:val="00226317"/>
    <w:rsid w:val="00231539"/>
    <w:rsid w:val="002523E3"/>
    <w:rsid w:val="00266FA5"/>
    <w:rsid w:val="00267F19"/>
    <w:rsid w:val="002920F4"/>
    <w:rsid w:val="002940F3"/>
    <w:rsid w:val="00295842"/>
    <w:rsid w:val="002B3574"/>
    <w:rsid w:val="002B6B74"/>
    <w:rsid w:val="002C4CF0"/>
    <w:rsid w:val="002C6AE7"/>
    <w:rsid w:val="002D2621"/>
    <w:rsid w:val="002D2D4B"/>
    <w:rsid w:val="002D3805"/>
    <w:rsid w:val="002E1BB3"/>
    <w:rsid w:val="002E47D6"/>
    <w:rsid w:val="002E66AE"/>
    <w:rsid w:val="002E7763"/>
    <w:rsid w:val="002F5842"/>
    <w:rsid w:val="00306CB7"/>
    <w:rsid w:val="003111F5"/>
    <w:rsid w:val="00317F4F"/>
    <w:rsid w:val="00321EC6"/>
    <w:rsid w:val="0033118D"/>
    <w:rsid w:val="00336200"/>
    <w:rsid w:val="00337418"/>
    <w:rsid w:val="00337500"/>
    <w:rsid w:val="00351D83"/>
    <w:rsid w:val="00353E46"/>
    <w:rsid w:val="003576C4"/>
    <w:rsid w:val="00361425"/>
    <w:rsid w:val="00365F9C"/>
    <w:rsid w:val="00366AB0"/>
    <w:rsid w:val="0037437C"/>
    <w:rsid w:val="0038146B"/>
    <w:rsid w:val="0038340F"/>
    <w:rsid w:val="00384457"/>
    <w:rsid w:val="00384F24"/>
    <w:rsid w:val="00395B87"/>
    <w:rsid w:val="003A32B2"/>
    <w:rsid w:val="003A47DD"/>
    <w:rsid w:val="003A634F"/>
    <w:rsid w:val="003B35A5"/>
    <w:rsid w:val="003B588A"/>
    <w:rsid w:val="003B621D"/>
    <w:rsid w:val="003C4388"/>
    <w:rsid w:val="003C4C27"/>
    <w:rsid w:val="003C7F7B"/>
    <w:rsid w:val="003D2EAA"/>
    <w:rsid w:val="003D6AE0"/>
    <w:rsid w:val="003E054C"/>
    <w:rsid w:val="003E27A0"/>
    <w:rsid w:val="003E3872"/>
    <w:rsid w:val="003F55F3"/>
    <w:rsid w:val="004044AA"/>
    <w:rsid w:val="004044C8"/>
    <w:rsid w:val="00404F3F"/>
    <w:rsid w:val="00410B5D"/>
    <w:rsid w:val="00413BEC"/>
    <w:rsid w:val="004212B0"/>
    <w:rsid w:val="0042265E"/>
    <w:rsid w:val="00422E19"/>
    <w:rsid w:val="00424ED7"/>
    <w:rsid w:val="00425258"/>
    <w:rsid w:val="00426217"/>
    <w:rsid w:val="00426917"/>
    <w:rsid w:val="0042770C"/>
    <w:rsid w:val="00431A80"/>
    <w:rsid w:val="00434F1B"/>
    <w:rsid w:val="00435A89"/>
    <w:rsid w:val="00435C6F"/>
    <w:rsid w:val="00452267"/>
    <w:rsid w:val="00452B02"/>
    <w:rsid w:val="00453307"/>
    <w:rsid w:val="00454E37"/>
    <w:rsid w:val="00457E36"/>
    <w:rsid w:val="00461065"/>
    <w:rsid w:val="00461237"/>
    <w:rsid w:val="004622C6"/>
    <w:rsid w:val="00462F8F"/>
    <w:rsid w:val="00481D56"/>
    <w:rsid w:val="00483B82"/>
    <w:rsid w:val="00490408"/>
    <w:rsid w:val="004A4C45"/>
    <w:rsid w:val="004B0485"/>
    <w:rsid w:val="004B428E"/>
    <w:rsid w:val="004B4D37"/>
    <w:rsid w:val="004C42F0"/>
    <w:rsid w:val="004C54DF"/>
    <w:rsid w:val="004E18C6"/>
    <w:rsid w:val="004E1D73"/>
    <w:rsid w:val="0050591B"/>
    <w:rsid w:val="0051286E"/>
    <w:rsid w:val="00516021"/>
    <w:rsid w:val="00516457"/>
    <w:rsid w:val="00520A0C"/>
    <w:rsid w:val="00530E37"/>
    <w:rsid w:val="005333F3"/>
    <w:rsid w:val="005464A1"/>
    <w:rsid w:val="00546F12"/>
    <w:rsid w:val="0055339C"/>
    <w:rsid w:val="00562B3C"/>
    <w:rsid w:val="00564E40"/>
    <w:rsid w:val="005750E2"/>
    <w:rsid w:val="0058313F"/>
    <w:rsid w:val="00585859"/>
    <w:rsid w:val="00586FBC"/>
    <w:rsid w:val="005879C9"/>
    <w:rsid w:val="005961C3"/>
    <w:rsid w:val="005A3C6B"/>
    <w:rsid w:val="005B1EA5"/>
    <w:rsid w:val="005D2203"/>
    <w:rsid w:val="005D7176"/>
    <w:rsid w:val="005E1F24"/>
    <w:rsid w:val="005E4B10"/>
    <w:rsid w:val="005E73F1"/>
    <w:rsid w:val="005F07EF"/>
    <w:rsid w:val="00600B2E"/>
    <w:rsid w:val="00607862"/>
    <w:rsid w:val="00607CEB"/>
    <w:rsid w:val="00611949"/>
    <w:rsid w:val="00613299"/>
    <w:rsid w:val="0061762D"/>
    <w:rsid w:val="0062782D"/>
    <w:rsid w:val="00634238"/>
    <w:rsid w:val="00635FBC"/>
    <w:rsid w:val="00637728"/>
    <w:rsid w:val="0064113A"/>
    <w:rsid w:val="00644002"/>
    <w:rsid w:val="006458B1"/>
    <w:rsid w:val="00650529"/>
    <w:rsid w:val="00650BAB"/>
    <w:rsid w:val="00651737"/>
    <w:rsid w:val="006671BF"/>
    <w:rsid w:val="00672A7D"/>
    <w:rsid w:val="00681416"/>
    <w:rsid w:val="006864B8"/>
    <w:rsid w:val="006A06F5"/>
    <w:rsid w:val="006A0ED2"/>
    <w:rsid w:val="006A7129"/>
    <w:rsid w:val="006B0A73"/>
    <w:rsid w:val="006B40AD"/>
    <w:rsid w:val="006B5A6B"/>
    <w:rsid w:val="006B5EB7"/>
    <w:rsid w:val="006C0F82"/>
    <w:rsid w:val="006C332E"/>
    <w:rsid w:val="006C3815"/>
    <w:rsid w:val="006C566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260A"/>
    <w:rsid w:val="00743DAC"/>
    <w:rsid w:val="007449DA"/>
    <w:rsid w:val="0075308B"/>
    <w:rsid w:val="0075337B"/>
    <w:rsid w:val="00755CD4"/>
    <w:rsid w:val="00757F96"/>
    <w:rsid w:val="0077462F"/>
    <w:rsid w:val="00785285"/>
    <w:rsid w:val="0078529D"/>
    <w:rsid w:val="00787DC1"/>
    <w:rsid w:val="007927A4"/>
    <w:rsid w:val="00794070"/>
    <w:rsid w:val="007A49E5"/>
    <w:rsid w:val="007A6CE8"/>
    <w:rsid w:val="007A713B"/>
    <w:rsid w:val="007B64AC"/>
    <w:rsid w:val="007B64E5"/>
    <w:rsid w:val="007C2F04"/>
    <w:rsid w:val="007D32D9"/>
    <w:rsid w:val="007F5B8B"/>
    <w:rsid w:val="007F77E2"/>
    <w:rsid w:val="00801EE4"/>
    <w:rsid w:val="00817E9A"/>
    <w:rsid w:val="00830676"/>
    <w:rsid w:val="00830B6A"/>
    <w:rsid w:val="00830D57"/>
    <w:rsid w:val="00860B07"/>
    <w:rsid w:val="008616F6"/>
    <w:rsid w:val="0086259C"/>
    <w:rsid w:val="00864C15"/>
    <w:rsid w:val="00876832"/>
    <w:rsid w:val="0088267E"/>
    <w:rsid w:val="00883F24"/>
    <w:rsid w:val="00897E1F"/>
    <w:rsid w:val="008B2CB4"/>
    <w:rsid w:val="008B6404"/>
    <w:rsid w:val="008C2C21"/>
    <w:rsid w:val="008C7DD3"/>
    <w:rsid w:val="008E000B"/>
    <w:rsid w:val="008E2926"/>
    <w:rsid w:val="008E35C6"/>
    <w:rsid w:val="008E3F49"/>
    <w:rsid w:val="008F243B"/>
    <w:rsid w:val="008F4675"/>
    <w:rsid w:val="00904A66"/>
    <w:rsid w:val="00921D64"/>
    <w:rsid w:val="0092287F"/>
    <w:rsid w:val="0092495B"/>
    <w:rsid w:val="0092660E"/>
    <w:rsid w:val="00936519"/>
    <w:rsid w:val="00941DA3"/>
    <w:rsid w:val="00942C0C"/>
    <w:rsid w:val="009456A8"/>
    <w:rsid w:val="00950080"/>
    <w:rsid w:val="0095388F"/>
    <w:rsid w:val="009539E3"/>
    <w:rsid w:val="00954A5E"/>
    <w:rsid w:val="009551B2"/>
    <w:rsid w:val="00964625"/>
    <w:rsid w:val="00981C1D"/>
    <w:rsid w:val="0099109C"/>
    <w:rsid w:val="009936DB"/>
    <w:rsid w:val="00993CFC"/>
    <w:rsid w:val="009A1DC2"/>
    <w:rsid w:val="009B3BF8"/>
    <w:rsid w:val="009B6B7D"/>
    <w:rsid w:val="009C0914"/>
    <w:rsid w:val="009C27E5"/>
    <w:rsid w:val="009D468F"/>
    <w:rsid w:val="009D71E8"/>
    <w:rsid w:val="009E104B"/>
    <w:rsid w:val="009E7DE4"/>
    <w:rsid w:val="009F3BBD"/>
    <w:rsid w:val="009F5976"/>
    <w:rsid w:val="00A0161E"/>
    <w:rsid w:val="00A063DD"/>
    <w:rsid w:val="00A112B5"/>
    <w:rsid w:val="00A1206D"/>
    <w:rsid w:val="00A14EEA"/>
    <w:rsid w:val="00A15C5E"/>
    <w:rsid w:val="00A170B8"/>
    <w:rsid w:val="00A17E08"/>
    <w:rsid w:val="00A42545"/>
    <w:rsid w:val="00A44FBB"/>
    <w:rsid w:val="00A50104"/>
    <w:rsid w:val="00A522E0"/>
    <w:rsid w:val="00A63579"/>
    <w:rsid w:val="00A638AC"/>
    <w:rsid w:val="00A727E5"/>
    <w:rsid w:val="00A748B5"/>
    <w:rsid w:val="00A80A32"/>
    <w:rsid w:val="00A82194"/>
    <w:rsid w:val="00A82A98"/>
    <w:rsid w:val="00A82D16"/>
    <w:rsid w:val="00A90B54"/>
    <w:rsid w:val="00A95147"/>
    <w:rsid w:val="00A95F75"/>
    <w:rsid w:val="00A96B83"/>
    <w:rsid w:val="00A97F76"/>
    <w:rsid w:val="00AA355B"/>
    <w:rsid w:val="00AA42E5"/>
    <w:rsid w:val="00AB24FA"/>
    <w:rsid w:val="00AB3CC6"/>
    <w:rsid w:val="00AD7B5A"/>
    <w:rsid w:val="00AE229F"/>
    <w:rsid w:val="00AF174B"/>
    <w:rsid w:val="00AF5E20"/>
    <w:rsid w:val="00B002FA"/>
    <w:rsid w:val="00B00327"/>
    <w:rsid w:val="00B024B3"/>
    <w:rsid w:val="00B11DE8"/>
    <w:rsid w:val="00B140E5"/>
    <w:rsid w:val="00B143BD"/>
    <w:rsid w:val="00B179ED"/>
    <w:rsid w:val="00B20E18"/>
    <w:rsid w:val="00B26255"/>
    <w:rsid w:val="00B43BB3"/>
    <w:rsid w:val="00B46A33"/>
    <w:rsid w:val="00B572C4"/>
    <w:rsid w:val="00B60858"/>
    <w:rsid w:val="00B74D4E"/>
    <w:rsid w:val="00B80219"/>
    <w:rsid w:val="00B81981"/>
    <w:rsid w:val="00BA05CC"/>
    <w:rsid w:val="00BA19A5"/>
    <w:rsid w:val="00BC67F6"/>
    <w:rsid w:val="00BD2004"/>
    <w:rsid w:val="00BD4B12"/>
    <w:rsid w:val="00BE2F92"/>
    <w:rsid w:val="00BF0D5F"/>
    <w:rsid w:val="00C11EB4"/>
    <w:rsid w:val="00C12746"/>
    <w:rsid w:val="00C13914"/>
    <w:rsid w:val="00C25827"/>
    <w:rsid w:val="00C31BB8"/>
    <w:rsid w:val="00C373EA"/>
    <w:rsid w:val="00C621C1"/>
    <w:rsid w:val="00C62989"/>
    <w:rsid w:val="00C65CBB"/>
    <w:rsid w:val="00C708B6"/>
    <w:rsid w:val="00C80F37"/>
    <w:rsid w:val="00C97A7F"/>
    <w:rsid w:val="00CB5B17"/>
    <w:rsid w:val="00CC4443"/>
    <w:rsid w:val="00CC5CAF"/>
    <w:rsid w:val="00CD0C80"/>
    <w:rsid w:val="00CD7ECB"/>
    <w:rsid w:val="00CE0B83"/>
    <w:rsid w:val="00CF5B00"/>
    <w:rsid w:val="00D06874"/>
    <w:rsid w:val="00D138CD"/>
    <w:rsid w:val="00D173F7"/>
    <w:rsid w:val="00D20203"/>
    <w:rsid w:val="00D204E0"/>
    <w:rsid w:val="00D21354"/>
    <w:rsid w:val="00D22400"/>
    <w:rsid w:val="00D278BA"/>
    <w:rsid w:val="00D32167"/>
    <w:rsid w:val="00D33FE5"/>
    <w:rsid w:val="00D3578A"/>
    <w:rsid w:val="00D44189"/>
    <w:rsid w:val="00D4463C"/>
    <w:rsid w:val="00D501EE"/>
    <w:rsid w:val="00D517DC"/>
    <w:rsid w:val="00D5590D"/>
    <w:rsid w:val="00D618E4"/>
    <w:rsid w:val="00D61DA5"/>
    <w:rsid w:val="00D650AE"/>
    <w:rsid w:val="00D875ED"/>
    <w:rsid w:val="00D877D0"/>
    <w:rsid w:val="00D90013"/>
    <w:rsid w:val="00D91B9C"/>
    <w:rsid w:val="00D92C1B"/>
    <w:rsid w:val="00D94CC7"/>
    <w:rsid w:val="00DA1AF4"/>
    <w:rsid w:val="00DA5979"/>
    <w:rsid w:val="00DB0C60"/>
    <w:rsid w:val="00DC641A"/>
    <w:rsid w:val="00DD6B7D"/>
    <w:rsid w:val="00DD6E14"/>
    <w:rsid w:val="00DE15AC"/>
    <w:rsid w:val="00DF3F9F"/>
    <w:rsid w:val="00E061EC"/>
    <w:rsid w:val="00E13E51"/>
    <w:rsid w:val="00E23A28"/>
    <w:rsid w:val="00E43EAD"/>
    <w:rsid w:val="00E55A9D"/>
    <w:rsid w:val="00E62DCB"/>
    <w:rsid w:val="00E651DD"/>
    <w:rsid w:val="00E66558"/>
    <w:rsid w:val="00E70D81"/>
    <w:rsid w:val="00E726A6"/>
    <w:rsid w:val="00E86F05"/>
    <w:rsid w:val="00E90695"/>
    <w:rsid w:val="00EA3A2A"/>
    <w:rsid w:val="00EB1EBB"/>
    <w:rsid w:val="00EB4556"/>
    <w:rsid w:val="00EB64C8"/>
    <w:rsid w:val="00ED5108"/>
    <w:rsid w:val="00EE32DE"/>
    <w:rsid w:val="00EE4A81"/>
    <w:rsid w:val="00EE6DDC"/>
    <w:rsid w:val="00F012CA"/>
    <w:rsid w:val="00F01752"/>
    <w:rsid w:val="00F0355A"/>
    <w:rsid w:val="00F17327"/>
    <w:rsid w:val="00F24A7E"/>
    <w:rsid w:val="00F2544D"/>
    <w:rsid w:val="00F33DC0"/>
    <w:rsid w:val="00F37378"/>
    <w:rsid w:val="00F42E25"/>
    <w:rsid w:val="00F458DC"/>
    <w:rsid w:val="00F5150B"/>
    <w:rsid w:val="00F62587"/>
    <w:rsid w:val="00F630E9"/>
    <w:rsid w:val="00F63E9E"/>
    <w:rsid w:val="00F76843"/>
    <w:rsid w:val="00F776E1"/>
    <w:rsid w:val="00F835BC"/>
    <w:rsid w:val="00F925EB"/>
    <w:rsid w:val="00FA6DD0"/>
    <w:rsid w:val="00FB0B4D"/>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nesofregulation.com/research--evidence-base.html" TargetMode="External"/><Relationship Id="rId13" Type="http://schemas.openxmlformats.org/officeDocument/2006/relationships/hyperlink" Target="https://educationendowmentfoundation.org.uk/projects-and-evaluation/projects/read-write-inc-and-fresh-star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tismeducationtrust.org.uk/sites/default/files/2022-04/SASS-Strategies-for-supporting-children-on-the-Autism-Spectrum-in-the-Early-Years.pdf" TargetMode="External"/><Relationship Id="rId12" Type="http://schemas.openxmlformats.org/officeDocument/2006/relationships/hyperlink" Target="https://d2tic4wvo1iusb.cloudfront.net/documents/pages/Tutoring_Guide_2022_V1.2.pdf?v=1668439120" TargetMode="External"/><Relationship Id="rId17" Type="http://schemas.openxmlformats.org/officeDocument/2006/relationships/hyperlink" Target="https://d2tic4wvo1iusb.cloudfront.net/documents/pages/projects/Attendance-REA-protocol-21092021.pdf?v=1678378813" TargetMode="External"/><Relationship Id="rId2" Type="http://schemas.openxmlformats.org/officeDocument/2006/relationships/styles" Target="styles.xml"/><Relationship Id="rId16" Type="http://schemas.openxmlformats.org/officeDocument/2006/relationships/hyperlink" Target="https://journals.sagepub.com/doi/abs/10.1177/09567976145338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yperlink" Target="https://senmagazine.co.uk/content/specific-needs/pmld/15866/music-therapy-and-pmld/" TargetMode="External"/><Relationship Id="rId10" Type="http://schemas.openxmlformats.org/officeDocument/2006/relationships/hyperlink" Target="https://educationendowmentfoundation.org.uk/education-evidence/early-years-toolkit/communication-and-language-approach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early-years-toolkit/self-regulation-strategies" TargetMode="External"/><Relationship Id="rId14" Type="http://schemas.openxmlformats.org/officeDocument/2006/relationships/hyperlink" Target="https://educationendowmentfoundation.org.uk/education-evidence/early-years-toolkit/communication-and-language-approa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98EF235E</Template>
  <TotalTime>8</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Katharine Lewis</cp:lastModifiedBy>
  <cp:revision>6</cp:revision>
  <cp:lastPrinted>2014-09-17T21:26:00Z</cp:lastPrinted>
  <dcterms:created xsi:type="dcterms:W3CDTF">2023-03-19T10:35:00Z</dcterms:created>
  <dcterms:modified xsi:type="dcterms:W3CDTF">2023-03-25T11:08:00Z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